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F26805" w:rsidP="0029054F">
            <w:pPr>
              <w:rPr>
                <w:rFonts w:ascii="Tahoma" w:hAnsi="Tahoma" w:cs="Tahoma"/>
                <w:b/>
                <w:color w:val="003671"/>
                <w:sz w:val="32"/>
              </w:rPr>
            </w:pPr>
            <w:r>
              <w:rPr>
                <w:rFonts w:ascii="Tahoma" w:hAnsi="Tahoma" w:cs="Tahoma"/>
                <w:b/>
                <w:color w:val="003671"/>
                <w:sz w:val="32"/>
              </w:rPr>
              <w:t xml:space="preserve">Niche </w:t>
            </w:r>
            <w:r w:rsidR="00DB721E">
              <w:rPr>
                <w:rFonts w:ascii="Tahoma" w:hAnsi="Tahoma" w:cs="Tahoma"/>
                <w:b/>
                <w:color w:val="003671"/>
                <w:sz w:val="32"/>
              </w:rPr>
              <w:t xml:space="preserve">Crime </w:t>
            </w:r>
            <w:r>
              <w:rPr>
                <w:rFonts w:ascii="Tahoma" w:hAnsi="Tahoma" w:cs="Tahoma"/>
                <w:b/>
                <w:color w:val="003671"/>
                <w:sz w:val="32"/>
              </w:rPr>
              <w:t xml:space="preserve">Classification </w:t>
            </w:r>
            <w:r w:rsidR="00E14FAF">
              <w:rPr>
                <w:rFonts w:ascii="Tahoma" w:hAnsi="Tahoma" w:cs="Tahoma"/>
                <w:b/>
                <w:color w:val="003671"/>
                <w:sz w:val="32"/>
              </w:rPr>
              <w:t xml:space="preserve">Team </w:t>
            </w:r>
            <w:r>
              <w:rPr>
                <w:rFonts w:ascii="Tahoma" w:hAnsi="Tahoma" w:cs="Tahoma"/>
                <w:b/>
                <w:color w:val="003671"/>
                <w:sz w:val="32"/>
              </w:rPr>
              <w:t>A</w:t>
            </w:r>
            <w:r w:rsidR="0029054F">
              <w:rPr>
                <w:rFonts w:ascii="Tahoma" w:hAnsi="Tahoma" w:cs="Tahoma"/>
                <w:b/>
                <w:color w:val="003671"/>
                <w:sz w:val="32"/>
              </w:rPr>
              <w:t>ssistant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827232"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827232" w:rsidP="00DC3CE8">
            <w:pPr>
              <w:rPr>
                <w:rFonts w:ascii="Tahoma" w:hAnsi="Tahoma" w:cs="Tahoma"/>
                <w:color w:val="1F3864" w:themeColor="accent5" w:themeShade="80"/>
              </w:rPr>
            </w:pPr>
            <w:r>
              <w:rPr>
                <w:rFonts w:ascii="Tahoma" w:hAnsi="Tahoma" w:cs="Tahoma"/>
                <w:color w:val="1F3864" w:themeColor="accent5" w:themeShade="80"/>
              </w:rPr>
              <w:t>DCC</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35274D" w:rsidP="0035274D">
            <w:pPr>
              <w:rPr>
                <w:rFonts w:ascii="Tahoma" w:hAnsi="Tahoma" w:cs="Tahoma"/>
                <w:color w:val="1F3864" w:themeColor="accent5" w:themeShade="80"/>
              </w:rPr>
            </w:pPr>
            <w:r>
              <w:rPr>
                <w:rFonts w:ascii="Tahoma" w:hAnsi="Tahoma" w:cs="Tahoma"/>
                <w:color w:val="1F3864" w:themeColor="accent5" w:themeShade="80"/>
              </w:rPr>
              <w:t>Niche Classification Team Sup</w:t>
            </w:r>
            <w:r w:rsidR="00827232">
              <w:rPr>
                <w:rFonts w:ascii="Tahoma" w:hAnsi="Tahoma" w:cs="Tahoma"/>
                <w:color w:val="1F3864" w:themeColor="accent5" w:themeShade="80"/>
              </w:rPr>
              <w:t>ervisor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827232" w:rsidP="00DC3CE8">
            <w:pPr>
              <w:rPr>
                <w:rFonts w:ascii="Tahoma" w:hAnsi="Tahoma" w:cs="Tahoma"/>
                <w:color w:val="1F3864" w:themeColor="accent5" w:themeShade="80"/>
              </w:rPr>
            </w:pPr>
            <w:r>
              <w:rPr>
                <w:rFonts w:ascii="Tahoma" w:hAnsi="Tahoma" w:cs="Tahoma"/>
                <w:color w:val="1F3864" w:themeColor="accent5" w:themeShade="80"/>
              </w:rPr>
              <w:t>Nil</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A7A7E" w:rsidRPr="00F53596" w:rsidRDefault="000A7A7E" w:rsidP="00EF2329">
            <w:pPr>
              <w:spacing w:after="200" w:line="276" w:lineRule="auto"/>
              <w:rPr>
                <w:rFonts w:ascii="Tahoma" w:hAnsi="Tahoma" w:cs="Tahoma"/>
                <w:color w:val="002060"/>
              </w:rPr>
            </w:pPr>
            <w:r w:rsidRPr="00F53596">
              <w:rPr>
                <w:rFonts w:ascii="Tahoma" w:hAnsi="Tahoma" w:cs="Tahoma"/>
                <w:color w:val="002060"/>
              </w:rPr>
              <w:t>The post holder will work as part of a team and will ensure that crimes are recorded correctly and that incident details are completed correctly and classified in accordance with the home office counting rules (HOCR). The post holder will be required to assign incidents for investigation where appropriate and assign outcomes to certain incidents which will require closu</w:t>
            </w:r>
            <w:bookmarkStart w:id="0" w:name="_GoBack"/>
            <w:bookmarkEnd w:id="0"/>
            <w:r w:rsidRPr="00F53596">
              <w:rPr>
                <w:rFonts w:ascii="Tahoma" w:hAnsi="Tahoma" w:cs="Tahoma"/>
                <w:color w:val="002060"/>
              </w:rPr>
              <w:t xml:space="preserve">re. </w:t>
            </w:r>
          </w:p>
          <w:p w:rsidR="000952B6" w:rsidRPr="00F53596" w:rsidRDefault="000952B6" w:rsidP="00851948">
            <w:pPr>
              <w:spacing w:after="200" w:line="276" w:lineRule="auto"/>
              <w:rPr>
                <w:rFonts w:ascii="Tahoma" w:eastAsia="Times New Roman" w:hAnsi="Tahoma" w:cs="Tahoma"/>
                <w:color w:val="002060"/>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827232" w:rsidRPr="00803311" w:rsidRDefault="00827232" w:rsidP="00827232">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To ensure that all working practices and procedures used to record crime are in accordance with criteria set out in the National Crime Recording Standards (NCRS) and Home Office Counting Rules (HOCR)</w:t>
            </w:r>
          </w:p>
          <w:p w:rsidR="00827232" w:rsidRPr="00803311" w:rsidRDefault="00827232" w:rsidP="00827232">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 xml:space="preserve">Ensure </w:t>
            </w:r>
            <w:r w:rsidR="00F53596">
              <w:rPr>
                <w:rFonts w:ascii="Tahoma" w:hAnsi="Tahoma" w:cs="Tahoma"/>
                <w:color w:val="1F3864" w:themeColor="accent5" w:themeShade="80"/>
                <w:sz w:val="22"/>
                <w:szCs w:val="22"/>
              </w:rPr>
              <w:t>Niche</w:t>
            </w:r>
            <w:r w:rsidRPr="000A7A7E">
              <w:rPr>
                <w:rFonts w:ascii="Tahoma" w:hAnsi="Tahoma" w:cs="Tahoma"/>
                <w:color w:val="FF0000"/>
                <w:sz w:val="22"/>
                <w:szCs w:val="22"/>
              </w:rPr>
              <w:t xml:space="preserve"> </w:t>
            </w:r>
            <w:r w:rsidRPr="00803311">
              <w:rPr>
                <w:rFonts w:ascii="Tahoma" w:hAnsi="Tahoma" w:cs="Tahoma"/>
                <w:color w:val="1F3864" w:themeColor="accent5" w:themeShade="80"/>
                <w:sz w:val="22"/>
                <w:szCs w:val="22"/>
              </w:rPr>
              <w:t>is correctly classified for crime related incidents.</w:t>
            </w:r>
          </w:p>
          <w:p w:rsidR="00827232" w:rsidRDefault="00827232" w:rsidP="00827232">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 xml:space="preserve">To provide support to Niche users within Local Policing and Investigative Services, including Help Desk Services in relation to HOCR and to provide an advisory service to customers on certain aspects of crime recording and they will provide information and data commentary to inform/enable decision making. </w:t>
            </w:r>
          </w:p>
          <w:p w:rsidR="00F26805" w:rsidRPr="00803311" w:rsidRDefault="00F26805" w:rsidP="00F26805">
            <w:pPr>
              <w:pStyle w:val="ListParagraph"/>
              <w:numPr>
                <w:ilvl w:val="0"/>
                <w:numId w:val="34"/>
              </w:numPr>
              <w:rPr>
                <w:rFonts w:ascii="Tahoma" w:hAnsi="Tahoma" w:cs="Tahoma"/>
                <w:color w:val="1F3864" w:themeColor="accent5" w:themeShade="80"/>
                <w:sz w:val="22"/>
                <w:szCs w:val="22"/>
              </w:rPr>
            </w:pPr>
            <w:r>
              <w:rPr>
                <w:rFonts w:ascii="Tahoma" w:hAnsi="Tahoma" w:cs="Tahoma"/>
                <w:color w:val="1F3864" w:themeColor="accent5" w:themeShade="80"/>
                <w:sz w:val="22"/>
                <w:szCs w:val="22"/>
              </w:rPr>
              <w:t>Ensuring data accuracy in relation to Victims for referral to Victim Support services.</w:t>
            </w:r>
          </w:p>
          <w:p w:rsidR="004E4F1C" w:rsidRPr="00803311" w:rsidRDefault="004E4F1C" w:rsidP="004E4F1C">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To be responsible for data quality and compliance with data protection legislation and Management of Police Information (</w:t>
            </w:r>
            <w:proofErr w:type="spellStart"/>
            <w:r w:rsidRPr="00803311">
              <w:rPr>
                <w:rFonts w:ascii="Tahoma" w:hAnsi="Tahoma" w:cs="Tahoma"/>
                <w:color w:val="1F3864" w:themeColor="accent5" w:themeShade="80"/>
                <w:sz w:val="22"/>
                <w:szCs w:val="22"/>
              </w:rPr>
              <w:t>MoPI</w:t>
            </w:r>
            <w:proofErr w:type="spellEnd"/>
            <w:r w:rsidRPr="00803311">
              <w:rPr>
                <w:rFonts w:ascii="Tahoma" w:hAnsi="Tahoma" w:cs="Tahoma"/>
                <w:color w:val="1F3864" w:themeColor="accent5" w:themeShade="80"/>
                <w:sz w:val="22"/>
                <w:szCs w:val="22"/>
              </w:rPr>
              <w:t xml:space="preserve">) guidelines. </w:t>
            </w:r>
          </w:p>
          <w:p w:rsidR="004E4F1C" w:rsidRPr="007915EB" w:rsidRDefault="004E4F1C" w:rsidP="004E4F1C">
            <w:pPr>
              <w:pStyle w:val="ListParagraph"/>
              <w:numPr>
                <w:ilvl w:val="0"/>
                <w:numId w:val="34"/>
              </w:numPr>
              <w:rPr>
                <w:rFonts w:ascii="Tahoma" w:hAnsi="Tahoma" w:cs="Tahoma"/>
                <w:color w:val="1F3864" w:themeColor="accent5" w:themeShade="80"/>
              </w:rPr>
            </w:pPr>
            <w:r w:rsidRPr="00803311">
              <w:rPr>
                <w:rFonts w:ascii="Tahoma" w:hAnsi="Tahoma" w:cs="Tahoma"/>
                <w:color w:val="1F3864" w:themeColor="accent5" w:themeShade="80"/>
                <w:sz w:val="22"/>
                <w:szCs w:val="22"/>
              </w:rPr>
              <w:t xml:space="preserve">Processing requests for reclassifications and cancellations for </w:t>
            </w:r>
            <w:proofErr w:type="spellStart"/>
            <w:r w:rsidRPr="00803311">
              <w:rPr>
                <w:rFonts w:ascii="Tahoma" w:hAnsi="Tahoma" w:cs="Tahoma"/>
                <w:color w:val="1F3864" w:themeColor="accent5" w:themeShade="80"/>
                <w:sz w:val="22"/>
                <w:szCs w:val="22"/>
              </w:rPr>
              <w:t>MoPI</w:t>
            </w:r>
            <w:proofErr w:type="spellEnd"/>
            <w:r w:rsidRPr="00803311">
              <w:rPr>
                <w:rFonts w:ascii="Tahoma" w:hAnsi="Tahoma" w:cs="Tahoma"/>
                <w:color w:val="1F3864" w:themeColor="accent5" w:themeShade="80"/>
                <w:sz w:val="22"/>
                <w:szCs w:val="22"/>
              </w:rPr>
              <w:t xml:space="preserve"> 3 offences. </w:t>
            </w:r>
          </w:p>
          <w:p w:rsidR="007915EB" w:rsidRPr="00803311" w:rsidRDefault="007915EB" w:rsidP="007915EB">
            <w:pPr>
              <w:pStyle w:val="ListParagraph"/>
              <w:numPr>
                <w:ilvl w:val="0"/>
                <w:numId w:val="34"/>
              </w:numPr>
              <w:rPr>
                <w:rFonts w:ascii="Tahoma" w:hAnsi="Tahoma" w:cs="Tahoma"/>
                <w:color w:val="1F3864" w:themeColor="accent5" w:themeShade="80"/>
                <w:sz w:val="22"/>
                <w:szCs w:val="22"/>
              </w:rPr>
            </w:pPr>
            <w:r>
              <w:rPr>
                <w:rFonts w:ascii="Tahoma" w:hAnsi="Tahoma" w:cs="Tahoma"/>
                <w:color w:val="1F3864" w:themeColor="accent5" w:themeShade="80"/>
                <w:sz w:val="22"/>
                <w:szCs w:val="22"/>
              </w:rPr>
              <w:t>To meet service level agreement in relation to timely referrals.</w:t>
            </w:r>
          </w:p>
          <w:p w:rsidR="007915EB" w:rsidRPr="007915EB" w:rsidRDefault="007915EB" w:rsidP="007915EB">
            <w:pPr>
              <w:ind w:left="1080"/>
              <w:rPr>
                <w:rFonts w:ascii="Tahoma" w:hAnsi="Tahoma" w:cs="Tahoma"/>
                <w:color w:val="1F3864" w:themeColor="accent5" w:themeShade="80"/>
              </w:rPr>
            </w:pPr>
          </w:p>
        </w:tc>
      </w:tr>
      <w:tr w:rsidR="00DC3CE8" w:rsidRPr="00C36B17" w:rsidTr="00DC3CE8">
        <w:trPr>
          <w:trHeight w:val="3145"/>
        </w:trPr>
        <w:tc>
          <w:tcPr>
            <w:tcW w:w="9016" w:type="dxa"/>
          </w:tcPr>
          <w:p w:rsidR="00DC3CE8" w:rsidRPr="00851948" w:rsidRDefault="00DC3CE8" w:rsidP="0085194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Default="00AD1AF2"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The </w:t>
            </w:r>
            <w:r w:rsidR="00237C6B">
              <w:rPr>
                <w:rFonts w:ascii="Tahoma" w:hAnsi="Tahoma" w:cs="Tahoma"/>
                <w:sz w:val="22"/>
                <w:szCs w:val="22"/>
              </w:rPr>
              <w:t xml:space="preserve">ability to work within legislative parameters and be able to maintain </w:t>
            </w:r>
            <w:r w:rsidR="009A3AD7">
              <w:rPr>
                <w:rFonts w:ascii="Tahoma" w:hAnsi="Tahoma" w:cs="Tahoma"/>
                <w:sz w:val="22"/>
                <w:szCs w:val="22"/>
              </w:rPr>
              <w:t xml:space="preserve">a </w:t>
            </w:r>
            <w:proofErr w:type="gramStart"/>
            <w:r w:rsidR="009A3AD7">
              <w:rPr>
                <w:rFonts w:ascii="Tahoma" w:hAnsi="Tahoma" w:cs="Tahoma"/>
                <w:sz w:val="22"/>
                <w:szCs w:val="22"/>
              </w:rPr>
              <w:t>high level</w:t>
            </w:r>
            <w:proofErr w:type="gramEnd"/>
            <w:r w:rsidR="009A3AD7">
              <w:rPr>
                <w:rFonts w:ascii="Tahoma" w:hAnsi="Tahoma" w:cs="Tahoma"/>
                <w:sz w:val="22"/>
                <w:szCs w:val="22"/>
              </w:rPr>
              <w:t xml:space="preserve"> pf personal professional knowledge.</w:t>
            </w:r>
          </w:p>
          <w:p w:rsidR="009A3AD7" w:rsidRDefault="009A3AD7"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The ability to work as an effective and positive member of a team, contributing to the achievement of objectives coupled with maintaining effective working </w:t>
            </w:r>
            <w:r>
              <w:rPr>
                <w:rFonts w:ascii="Tahoma" w:hAnsi="Tahoma" w:cs="Tahoma"/>
                <w:sz w:val="22"/>
                <w:szCs w:val="22"/>
              </w:rPr>
              <w:lastRenderedPageBreak/>
              <w:t>relationships with members of own team and other colleagues.</w:t>
            </w:r>
          </w:p>
          <w:p w:rsidR="009A3AD7" w:rsidRDefault="009A3AD7" w:rsidP="002543BF">
            <w:pPr>
              <w:pStyle w:val="ListParagraph"/>
              <w:numPr>
                <w:ilvl w:val="0"/>
                <w:numId w:val="30"/>
              </w:numPr>
              <w:ind w:right="124"/>
              <w:rPr>
                <w:rFonts w:ascii="Tahoma" w:hAnsi="Tahoma" w:cs="Tahoma"/>
                <w:sz w:val="22"/>
                <w:szCs w:val="22"/>
              </w:rPr>
            </w:pPr>
            <w:r>
              <w:rPr>
                <w:rFonts w:ascii="Tahoma" w:hAnsi="Tahoma" w:cs="Tahoma"/>
                <w:sz w:val="22"/>
                <w:szCs w:val="22"/>
              </w:rPr>
              <w:t>The ability to manage conflicting priorities and competing demands in order to meet customer expectations.</w:t>
            </w:r>
          </w:p>
          <w:p w:rsidR="009A3AD7" w:rsidRDefault="009A3AD7"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Awareness of Home Office Counting Rules &amp; National Crime Recording Standards. </w:t>
            </w:r>
          </w:p>
          <w:p w:rsidR="00F26805" w:rsidRDefault="00F26805" w:rsidP="00F26805">
            <w:pPr>
              <w:ind w:right="124"/>
              <w:rPr>
                <w:rFonts w:ascii="Tahoma" w:hAnsi="Tahoma" w:cs="Tahoma"/>
              </w:rPr>
            </w:pPr>
          </w:p>
          <w:p w:rsidR="00F26805" w:rsidRDefault="00F26805" w:rsidP="00F26805">
            <w:pPr>
              <w:ind w:right="124"/>
              <w:rPr>
                <w:rFonts w:ascii="Tahoma" w:hAnsi="Tahoma" w:cs="Tahoma"/>
              </w:rPr>
            </w:pPr>
          </w:p>
          <w:p w:rsidR="00F26805" w:rsidRPr="00F26805" w:rsidRDefault="00F26805" w:rsidP="00F26805">
            <w:pPr>
              <w:ind w:right="124"/>
              <w:rPr>
                <w:rFonts w:ascii="Tahoma" w:hAnsi="Tahoma" w:cs="Tahoma"/>
              </w:rPr>
            </w:pPr>
          </w:p>
        </w:tc>
        <w:tc>
          <w:tcPr>
            <w:tcW w:w="4508" w:type="dxa"/>
          </w:tcPr>
          <w:p w:rsidR="00CB09CF" w:rsidRDefault="00AD1AF2" w:rsidP="002543BF">
            <w:pPr>
              <w:pStyle w:val="ListParagraph"/>
              <w:numPr>
                <w:ilvl w:val="0"/>
                <w:numId w:val="30"/>
              </w:numPr>
              <w:ind w:right="124"/>
              <w:rPr>
                <w:rFonts w:ascii="Tahoma" w:hAnsi="Tahoma" w:cs="Tahoma"/>
                <w:sz w:val="22"/>
                <w:szCs w:val="22"/>
              </w:rPr>
            </w:pPr>
            <w:r>
              <w:rPr>
                <w:rFonts w:ascii="Tahoma" w:hAnsi="Tahoma" w:cs="Tahoma"/>
                <w:sz w:val="22"/>
                <w:szCs w:val="22"/>
              </w:rPr>
              <w:lastRenderedPageBreak/>
              <w:t>Knowledge of Police I.T. systems e.g. STORM, NICHE</w:t>
            </w:r>
          </w:p>
          <w:p w:rsidR="009A3AD7" w:rsidRPr="00C36B17" w:rsidRDefault="009A3AD7" w:rsidP="009A3AD7">
            <w:pPr>
              <w:pStyle w:val="ListParagraph"/>
              <w:numPr>
                <w:ilvl w:val="0"/>
                <w:numId w:val="30"/>
              </w:numPr>
              <w:ind w:right="124"/>
              <w:rPr>
                <w:rFonts w:ascii="Tahoma" w:hAnsi="Tahoma" w:cs="Tahoma"/>
                <w:sz w:val="22"/>
                <w:szCs w:val="22"/>
              </w:rPr>
            </w:pPr>
            <w:r>
              <w:rPr>
                <w:rFonts w:ascii="Tahoma" w:hAnsi="Tahoma" w:cs="Tahoma"/>
                <w:sz w:val="22"/>
                <w:szCs w:val="22"/>
              </w:rPr>
              <w:t xml:space="preserve">In depth knowledge of the Home Office Counting Rules, Crime Recording standards and Force Crime Recording Policy and Procedures.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342A32">
              <w:rPr>
                <w:rFonts w:ascii="Tahoma" w:eastAsia="Times New Roman" w:hAnsi="Tahoma" w:cs="Tahoma"/>
                <w:highlight w:val="yellow"/>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Maintain current knowledge of College of Policing Guidance, best practice and any local policy applicable to the operational police context.</w:t>
            </w:r>
          </w:p>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Maintain and update key knowledge, understanding and skills relating to Home Office Counting Rules (the classification and outcomes), National Standards of Incident Recording, and legislation.</w:t>
            </w:r>
          </w:p>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Maintain a working knowledge and understanding of new and evolving developments in Niche RMS to support Force priorities.</w:t>
            </w:r>
          </w:p>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Complete all annual and mandatory training.</w:t>
            </w:r>
          </w:p>
          <w:p w:rsidR="00342A32" w:rsidRPr="00AE061B" w:rsidRDefault="00342A32" w:rsidP="00342A32">
            <w:pPr>
              <w:numPr>
                <w:ilvl w:val="0"/>
                <w:numId w:val="30"/>
              </w:numPr>
              <w:spacing w:before="100" w:beforeAutospacing="1" w:after="225" w:line="256" w:lineRule="auto"/>
            </w:pPr>
            <w:r w:rsidRPr="00AE061B">
              <w:rPr>
                <w:rFonts w:ascii="Tahoma" w:eastAsia="Times New Roman" w:hAnsi="Tahoma" w:cs="Tahoma"/>
                <w:color w:val="000000"/>
                <w:sz w:val="24"/>
                <w:szCs w:val="24"/>
                <w:lang w:val="en-US" w:eastAsia="en-GB"/>
              </w:rPr>
              <w:t>Maintain knowledge and understanding of operational policing to maximize effectiveness of Niche and Pronto in delivering Force objectives.</w:t>
            </w:r>
          </w:p>
          <w:p w:rsidR="000B34F2" w:rsidRPr="00342A32" w:rsidRDefault="00342A32" w:rsidP="00342A32">
            <w:pPr>
              <w:numPr>
                <w:ilvl w:val="0"/>
                <w:numId w:val="30"/>
              </w:numPr>
              <w:spacing w:before="100" w:beforeAutospacing="1" w:after="225" w:line="256" w:lineRule="auto"/>
            </w:pPr>
            <w:r w:rsidRPr="00AE061B">
              <w:rPr>
                <w:rFonts w:ascii="Tahoma" w:eastAsia="Times New Roman" w:hAnsi="Tahoma" w:cs="Tahoma"/>
                <w:color w:val="000000"/>
                <w:sz w:val="24"/>
                <w:szCs w:val="24"/>
                <w:lang w:val="en-US" w:eastAsia="en-GB"/>
              </w:rPr>
              <w:t>Undertake learning and assessment related to role according to force needs.</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F26805">
              <w:rPr>
                <w:rFonts w:ascii="Tahoma" w:eastAsia="Times New Roman" w:hAnsi="Tahoma" w:cs="Tahoma"/>
                <w:bCs/>
                <w:color w:val="000000" w:themeColor="text1"/>
                <w:spacing w:val="-2"/>
                <w:kern w:val="24"/>
              </w:rPr>
              <w:t xml:space="preserve"> – </w:t>
            </w:r>
            <w:r w:rsidR="00F26805" w:rsidRPr="00F801B0">
              <w:rPr>
                <w:rFonts w:ascii="Tahoma" w:eastAsia="Times New Roman" w:hAnsi="Tahoma" w:cs="Tahoma"/>
                <w:bCs/>
                <w:i/>
                <w:color w:val="000000" w:themeColor="text1"/>
                <w:spacing w:val="-2"/>
                <w:kern w:val="24"/>
                <w:sz w:val="20"/>
                <w:szCs w:val="20"/>
              </w:rPr>
              <w:t>office to be resourced between 7am - 7pm Mon-Fri.</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sidRPr="00342A32">
              <w:rPr>
                <w:rFonts w:ascii="Tahoma" w:eastAsia="Times New Roman" w:hAnsi="Tahoma" w:cs="Tahoma"/>
                <w:bCs/>
                <w:color w:val="000000" w:themeColor="text1"/>
                <w:spacing w:val="-2"/>
                <w:kern w:val="24"/>
                <w:highlight w:val="yellow"/>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Limited Duties</w:t>
            </w:r>
            <w:r w:rsidR="00C36B17" w:rsidRPr="00C36B17">
              <w:rPr>
                <w:rFonts w:ascii="Tahoma" w:eastAsia="Times New Roman" w:hAnsi="Tahoma" w:cs="Tahoma"/>
                <w:b/>
                <w:bCs/>
                <w:color w:val="FFFFFF" w:themeColor="background1"/>
                <w:spacing w:val="-2"/>
                <w:kern w:val="24"/>
                <w:sz w:val="24"/>
                <w:lang w:eastAsia="en-GB"/>
              </w:rPr>
              <w:t xml:space="preserve"> </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Sit for reasonable </w:t>
            </w:r>
            <w:proofErr w:type="gramStart"/>
            <w:r w:rsidRPr="00C36B17">
              <w:rPr>
                <w:rFonts w:ascii="Tahoma" w:hAnsi="Tahoma" w:cs="Tahoma"/>
                <w:bCs/>
              </w:rPr>
              <w:t>periods(</w:t>
            </w:r>
            <w:proofErr w:type="gramEnd"/>
            <w:r w:rsidRPr="00C36B17">
              <w:rPr>
                <w:rFonts w:ascii="Tahoma" w:hAnsi="Tahoma" w:cs="Tahoma"/>
                <w:bCs/>
              </w:rPr>
              <w:t>consider impact of driving) a1</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proofErr w:type="gramStart"/>
            <w:r w:rsidRPr="00C36B17">
              <w:rPr>
                <w:rFonts w:ascii="Tahoma" w:hAnsi="Tahoma" w:cs="Tahoma"/>
                <w:bCs/>
              </w:rPr>
              <w:t>Use(</w:t>
            </w:r>
            <w:proofErr w:type="gramEnd"/>
            <w:r w:rsidRPr="00C36B17">
              <w:rPr>
                <w:rFonts w:ascii="Tahoma" w:hAnsi="Tahoma" w:cs="Tahoma"/>
                <w:bCs/>
              </w:rPr>
              <w:t>or learn to use IT)(a5)</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342A32" w:rsidP="00EA5185">
            <w:pPr>
              <w:rPr>
                <w:rFonts w:ascii="Tahoma" w:hAnsi="Tahoma" w:cs="Tahoma"/>
                <w:bCs/>
              </w:rPr>
            </w:pPr>
            <w:r>
              <w:rPr>
                <w:rFonts w:ascii="Tahoma" w:hAnsi="Tahoma" w:cs="Tahoma"/>
                <w:bCs/>
              </w:rPr>
              <w:t>NO</w:t>
            </w: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Walk reasonable distances (b2)</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Stand for reasonable time (b3)</w:t>
            </w:r>
          </w:p>
        </w:tc>
        <w:tc>
          <w:tcPr>
            <w:tcW w:w="1276" w:type="dxa"/>
          </w:tcPr>
          <w:p w:rsidR="00EA5185" w:rsidRPr="00C36B17" w:rsidRDefault="00CC1D6D" w:rsidP="00EA5185">
            <w:pPr>
              <w:rPr>
                <w:rFonts w:ascii="Tahoma" w:hAnsi="Tahoma" w:cs="Tahoma"/>
                <w:bCs/>
              </w:rPr>
            </w:pPr>
            <w:r>
              <w:rPr>
                <w:rFonts w:ascii="Tahoma" w:hAnsi="Tahoma" w:cs="Tahoma"/>
                <w:bCs/>
              </w:rPr>
              <w:t>NO</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proofErr w:type="spellStart"/>
            <w:r w:rsidR="00EA5185" w:rsidRPr="00C36B17">
              <w:rPr>
                <w:rFonts w:ascii="Tahoma" w:hAnsi="Tahoma" w:cs="Tahoma"/>
                <w:bCs/>
              </w:rPr>
              <w:t>Lates</w:t>
            </w:r>
            <w:proofErr w:type="spellEnd"/>
            <w:r w:rsidR="00EA5185" w:rsidRPr="00C36B17">
              <w:rPr>
                <w:rFonts w:ascii="Tahoma" w:hAnsi="Tahoma" w:cs="Tahoma"/>
                <w:bCs/>
              </w:rPr>
              <w:t xml:space="preserve"> (g2)</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342A32" w:rsidP="00EA5185">
            <w:pPr>
              <w:rPr>
                <w:rFonts w:ascii="Tahoma" w:hAnsi="Tahoma" w:cs="Tahoma"/>
                <w:bCs/>
              </w:rPr>
            </w:pPr>
            <w:r>
              <w:rPr>
                <w:rFonts w:ascii="Tahoma" w:hAnsi="Tahoma" w:cs="Tahoma"/>
                <w:bCs/>
              </w:rPr>
              <w:t>NO</w:t>
            </w: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082B65"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568"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8"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2E" w:rsidRDefault="00CE622E" w:rsidP="000C2E9E">
      <w:pPr>
        <w:spacing w:after="0" w:line="240" w:lineRule="auto"/>
      </w:pPr>
      <w:r>
        <w:separator/>
      </w:r>
    </w:p>
  </w:endnote>
  <w:endnote w:type="continuationSeparator" w:id="0">
    <w:p w:rsidR="00CE622E" w:rsidRDefault="00CE622E"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35274D" w:rsidRPr="0035274D">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F26805" w:rsidRPr="00F26805">
      <w:rPr>
        <w:b/>
      </w:rPr>
      <w:t>Niche Classification Priority Crime A</w:t>
    </w:r>
    <w:r w:rsidR="0029054F">
      <w:rPr>
        <w:b/>
      </w:rPr>
      <w:t xml:space="preserve">ssistant </w:t>
    </w:r>
    <w:r w:rsidR="00EC0EDE">
      <w:t xml:space="preserve">last updated: </w:t>
    </w:r>
    <w:r w:rsidR="00F26805">
      <w:rPr>
        <w:b/>
      </w:rPr>
      <w:t>17/05/19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2E" w:rsidRDefault="00CE622E" w:rsidP="000C2E9E">
      <w:pPr>
        <w:spacing w:after="0" w:line="240" w:lineRule="auto"/>
      </w:pPr>
      <w:r>
        <w:separator/>
      </w:r>
    </w:p>
  </w:footnote>
  <w:footnote w:type="continuationSeparator" w:id="0">
    <w:p w:rsidR="00CE622E" w:rsidRDefault="00CE622E"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2D6D"/>
    <w:multiLevelType w:val="hybridMultilevel"/>
    <w:tmpl w:val="CAD6F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2"/>
  </w:num>
  <w:num w:numId="5">
    <w:abstractNumId w:val="30"/>
  </w:num>
  <w:num w:numId="6">
    <w:abstractNumId w:val="25"/>
  </w:num>
  <w:num w:numId="7">
    <w:abstractNumId w:val="21"/>
  </w:num>
  <w:num w:numId="8">
    <w:abstractNumId w:val="26"/>
  </w:num>
  <w:num w:numId="9">
    <w:abstractNumId w:val="0"/>
  </w:num>
  <w:num w:numId="10">
    <w:abstractNumId w:val="15"/>
  </w:num>
  <w:num w:numId="11">
    <w:abstractNumId w:val="11"/>
  </w:num>
  <w:num w:numId="12">
    <w:abstractNumId w:val="16"/>
  </w:num>
  <w:num w:numId="13">
    <w:abstractNumId w:val="29"/>
  </w:num>
  <w:num w:numId="14">
    <w:abstractNumId w:val="32"/>
  </w:num>
  <w:num w:numId="15">
    <w:abstractNumId w:val="7"/>
  </w:num>
  <w:num w:numId="16">
    <w:abstractNumId w:val="2"/>
  </w:num>
  <w:num w:numId="17">
    <w:abstractNumId w:val="31"/>
  </w:num>
  <w:num w:numId="18">
    <w:abstractNumId w:val="27"/>
  </w:num>
  <w:num w:numId="19">
    <w:abstractNumId w:val="24"/>
  </w:num>
  <w:num w:numId="20">
    <w:abstractNumId w:val="19"/>
  </w:num>
  <w:num w:numId="21">
    <w:abstractNumId w:val="5"/>
  </w:num>
  <w:num w:numId="22">
    <w:abstractNumId w:val="12"/>
  </w:num>
  <w:num w:numId="23">
    <w:abstractNumId w:val="14"/>
  </w:num>
  <w:num w:numId="24">
    <w:abstractNumId w:val="3"/>
  </w:num>
  <w:num w:numId="25">
    <w:abstractNumId w:val="17"/>
  </w:num>
  <w:num w:numId="26">
    <w:abstractNumId w:val="33"/>
  </w:num>
  <w:num w:numId="27">
    <w:abstractNumId w:val="4"/>
  </w:num>
  <w:num w:numId="28">
    <w:abstractNumId w:val="18"/>
  </w:num>
  <w:num w:numId="29">
    <w:abstractNumId w:val="1"/>
  </w:num>
  <w:num w:numId="30">
    <w:abstractNumId w:val="9"/>
  </w:num>
  <w:num w:numId="31">
    <w:abstractNumId w:val="23"/>
  </w:num>
  <w:num w:numId="32">
    <w:abstractNumId w:val="20"/>
  </w:num>
  <w:num w:numId="33">
    <w:abstractNumId w:val="8"/>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48"/>
    <w:rsid w:val="000075D7"/>
    <w:rsid w:val="00020BD5"/>
    <w:rsid w:val="00023AFC"/>
    <w:rsid w:val="000324FA"/>
    <w:rsid w:val="00045E5E"/>
    <w:rsid w:val="00046A7B"/>
    <w:rsid w:val="0005020E"/>
    <w:rsid w:val="00082B65"/>
    <w:rsid w:val="000952B6"/>
    <w:rsid w:val="000A2411"/>
    <w:rsid w:val="000A7A7E"/>
    <w:rsid w:val="000B284D"/>
    <w:rsid w:val="000B34F2"/>
    <w:rsid w:val="000B4889"/>
    <w:rsid w:val="000C2E9E"/>
    <w:rsid w:val="000D1170"/>
    <w:rsid w:val="000D2467"/>
    <w:rsid w:val="000D570C"/>
    <w:rsid w:val="0010658C"/>
    <w:rsid w:val="00114500"/>
    <w:rsid w:val="0016282B"/>
    <w:rsid w:val="0017300D"/>
    <w:rsid w:val="00180768"/>
    <w:rsid w:val="0018208B"/>
    <w:rsid w:val="001A2D13"/>
    <w:rsid w:val="001A3552"/>
    <w:rsid w:val="001A728D"/>
    <w:rsid w:val="001B5604"/>
    <w:rsid w:val="001E10A3"/>
    <w:rsid w:val="001E3C0B"/>
    <w:rsid w:val="002162B1"/>
    <w:rsid w:val="00237C6B"/>
    <w:rsid w:val="002477C5"/>
    <w:rsid w:val="002543BF"/>
    <w:rsid w:val="00280D65"/>
    <w:rsid w:val="0029054F"/>
    <w:rsid w:val="002C4C8F"/>
    <w:rsid w:val="002C5F35"/>
    <w:rsid w:val="002D4A4C"/>
    <w:rsid w:val="002D59FD"/>
    <w:rsid w:val="00302152"/>
    <w:rsid w:val="003076B4"/>
    <w:rsid w:val="00342A32"/>
    <w:rsid w:val="0035274D"/>
    <w:rsid w:val="003538D6"/>
    <w:rsid w:val="003742DB"/>
    <w:rsid w:val="003A04C0"/>
    <w:rsid w:val="003F712C"/>
    <w:rsid w:val="00452025"/>
    <w:rsid w:val="00454570"/>
    <w:rsid w:val="00460F4E"/>
    <w:rsid w:val="00481839"/>
    <w:rsid w:val="004D37E6"/>
    <w:rsid w:val="004E0113"/>
    <w:rsid w:val="004E4F1C"/>
    <w:rsid w:val="004E58E7"/>
    <w:rsid w:val="004F24F8"/>
    <w:rsid w:val="004F5097"/>
    <w:rsid w:val="004F7D0F"/>
    <w:rsid w:val="005040D6"/>
    <w:rsid w:val="0050788A"/>
    <w:rsid w:val="0051223B"/>
    <w:rsid w:val="005130BD"/>
    <w:rsid w:val="005132D6"/>
    <w:rsid w:val="005232DC"/>
    <w:rsid w:val="00570BAE"/>
    <w:rsid w:val="00586A0E"/>
    <w:rsid w:val="005A3514"/>
    <w:rsid w:val="005C0EE9"/>
    <w:rsid w:val="005C20BA"/>
    <w:rsid w:val="00603FC6"/>
    <w:rsid w:val="00604AE6"/>
    <w:rsid w:val="006521C4"/>
    <w:rsid w:val="006834B4"/>
    <w:rsid w:val="0068363E"/>
    <w:rsid w:val="00684776"/>
    <w:rsid w:val="00685131"/>
    <w:rsid w:val="0068689F"/>
    <w:rsid w:val="006B20FC"/>
    <w:rsid w:val="006E4287"/>
    <w:rsid w:val="0070428F"/>
    <w:rsid w:val="00721B02"/>
    <w:rsid w:val="007271A5"/>
    <w:rsid w:val="0074519E"/>
    <w:rsid w:val="0076789E"/>
    <w:rsid w:val="007915EB"/>
    <w:rsid w:val="007971D0"/>
    <w:rsid w:val="007B328D"/>
    <w:rsid w:val="007B4392"/>
    <w:rsid w:val="007C4DFC"/>
    <w:rsid w:val="007C65D3"/>
    <w:rsid w:val="00803311"/>
    <w:rsid w:val="00816DE9"/>
    <w:rsid w:val="00822EF3"/>
    <w:rsid w:val="00827232"/>
    <w:rsid w:val="00834942"/>
    <w:rsid w:val="00844836"/>
    <w:rsid w:val="00851948"/>
    <w:rsid w:val="00863F7E"/>
    <w:rsid w:val="00870496"/>
    <w:rsid w:val="008742F6"/>
    <w:rsid w:val="0088299A"/>
    <w:rsid w:val="00884179"/>
    <w:rsid w:val="0089177D"/>
    <w:rsid w:val="008B701A"/>
    <w:rsid w:val="008F1B4D"/>
    <w:rsid w:val="00934A0E"/>
    <w:rsid w:val="00946227"/>
    <w:rsid w:val="0097454B"/>
    <w:rsid w:val="00986264"/>
    <w:rsid w:val="009A3AD7"/>
    <w:rsid w:val="009B061C"/>
    <w:rsid w:val="009B43C4"/>
    <w:rsid w:val="009C6B34"/>
    <w:rsid w:val="009D2E43"/>
    <w:rsid w:val="009D5C7A"/>
    <w:rsid w:val="00A65C19"/>
    <w:rsid w:val="00A76C7A"/>
    <w:rsid w:val="00A867D3"/>
    <w:rsid w:val="00A9228C"/>
    <w:rsid w:val="00AA3B24"/>
    <w:rsid w:val="00AA3D78"/>
    <w:rsid w:val="00AC6480"/>
    <w:rsid w:val="00AC665D"/>
    <w:rsid w:val="00AD1AF2"/>
    <w:rsid w:val="00AD4523"/>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B17"/>
    <w:rsid w:val="00C41F9C"/>
    <w:rsid w:val="00C44821"/>
    <w:rsid w:val="00C45165"/>
    <w:rsid w:val="00C501B5"/>
    <w:rsid w:val="00C8645B"/>
    <w:rsid w:val="00CB0910"/>
    <w:rsid w:val="00CB09CF"/>
    <w:rsid w:val="00CB17B5"/>
    <w:rsid w:val="00CC11AD"/>
    <w:rsid w:val="00CC1D6D"/>
    <w:rsid w:val="00CD7CA4"/>
    <w:rsid w:val="00CE1263"/>
    <w:rsid w:val="00CE622E"/>
    <w:rsid w:val="00CF2220"/>
    <w:rsid w:val="00D016AA"/>
    <w:rsid w:val="00D30A91"/>
    <w:rsid w:val="00D701A8"/>
    <w:rsid w:val="00D86487"/>
    <w:rsid w:val="00DB721E"/>
    <w:rsid w:val="00DB747A"/>
    <w:rsid w:val="00DC3CE8"/>
    <w:rsid w:val="00DE6EBD"/>
    <w:rsid w:val="00DF60C6"/>
    <w:rsid w:val="00DF6ECB"/>
    <w:rsid w:val="00E038F4"/>
    <w:rsid w:val="00E04DE6"/>
    <w:rsid w:val="00E06E7C"/>
    <w:rsid w:val="00E10852"/>
    <w:rsid w:val="00E12CFF"/>
    <w:rsid w:val="00E145F2"/>
    <w:rsid w:val="00E14C3C"/>
    <w:rsid w:val="00E14FAF"/>
    <w:rsid w:val="00E234DD"/>
    <w:rsid w:val="00E30A6D"/>
    <w:rsid w:val="00E33F36"/>
    <w:rsid w:val="00E42CDD"/>
    <w:rsid w:val="00E47ADF"/>
    <w:rsid w:val="00E47AF3"/>
    <w:rsid w:val="00E60A06"/>
    <w:rsid w:val="00E64E4F"/>
    <w:rsid w:val="00E74046"/>
    <w:rsid w:val="00E93FB6"/>
    <w:rsid w:val="00EA5185"/>
    <w:rsid w:val="00EA7289"/>
    <w:rsid w:val="00EB4C8D"/>
    <w:rsid w:val="00EC0EDE"/>
    <w:rsid w:val="00EC6A58"/>
    <w:rsid w:val="00ED2B2E"/>
    <w:rsid w:val="00EE14E7"/>
    <w:rsid w:val="00EF0F72"/>
    <w:rsid w:val="00EF2329"/>
    <w:rsid w:val="00F15089"/>
    <w:rsid w:val="00F22E4A"/>
    <w:rsid w:val="00F26805"/>
    <w:rsid w:val="00F27A64"/>
    <w:rsid w:val="00F30A89"/>
    <w:rsid w:val="00F34EEE"/>
    <w:rsid w:val="00F370AA"/>
    <w:rsid w:val="00F4126B"/>
    <w:rsid w:val="00F44B95"/>
    <w:rsid w:val="00F450AC"/>
    <w:rsid w:val="00F53596"/>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D8F90"/>
  <w15:chartTrackingRefBased/>
  <w15:docId w15:val="{47D814BF-904E-4E51-AFB3-9E493506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B7C4-2B97-4C52-A7E2-56DC590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Adam Smithies</cp:lastModifiedBy>
  <cp:revision>3</cp:revision>
  <dcterms:created xsi:type="dcterms:W3CDTF">2023-03-09T12:38:00Z</dcterms:created>
  <dcterms:modified xsi:type="dcterms:W3CDTF">2023-03-09T14:54:00Z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2023-02-03T09:21:00Z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bb50eb8d-4507-4bce-95e7-b47f8b84a120</vt:lpwstr>
  </property>
  <property fmtid="{D5CDD505-2E9C-101B-9397-08002B2CF9AE}" pid="8" name="MSIP_Label_c1bd297d-c19e-48a7-882e-4507daab7346_ContentBits">
    <vt:lpwstr>0</vt:lpwstr>
  </property>
</Properties>
</file>