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264" w:rsidTr="004961E7">
        <w:trPr>
          <w:trHeight w:val="438"/>
        </w:trPr>
        <w:tc>
          <w:tcPr>
            <w:tcW w:w="9016" w:type="dxa"/>
            <w:vAlign w:val="center"/>
          </w:tcPr>
          <w:p w:rsidR="00986264" w:rsidRDefault="000E4F5F" w:rsidP="00DC3CE8">
            <w:pPr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Student Support Officer</w:t>
            </w:r>
            <w:r w:rsidR="00631C3F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 – </w:t>
            </w: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Special Educational Needs - </w:t>
            </w:r>
            <w:r w:rsidR="00631C3F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PEQF Team</w:t>
            </w:r>
          </w:p>
        </w:tc>
      </w:tr>
    </w:tbl>
    <w:p w:rsidR="00E30A6D" w:rsidRPr="00DC3CE8" w:rsidRDefault="00E30A6D">
      <w:pPr>
        <w:rPr>
          <w:rFonts w:ascii="Arial" w:hAnsi="Arial" w:cs="Arial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CE8" w:rsidRPr="00DC3CE8" w:rsidTr="00DC3CE8">
        <w:trPr>
          <w:trHeight w:val="409"/>
        </w:trPr>
        <w:tc>
          <w:tcPr>
            <w:tcW w:w="1838" w:type="dxa"/>
            <w:vAlign w:val="center"/>
          </w:tcPr>
          <w:p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Grade/Rank:</w:t>
            </w:r>
          </w:p>
        </w:tc>
        <w:tc>
          <w:tcPr>
            <w:tcW w:w="7178" w:type="dxa"/>
            <w:vAlign w:val="center"/>
          </w:tcPr>
          <w:p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Grade </w:t>
            </w:r>
            <w:r w:rsidR="0025263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</w:t>
            </w:r>
            <w:r w:rsidR="0093322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DC3CE8" w:rsidRPr="00DC3CE8" w:rsidTr="00DC3CE8">
        <w:trPr>
          <w:trHeight w:val="409"/>
        </w:trPr>
        <w:tc>
          <w:tcPr>
            <w:tcW w:w="1838" w:type="dxa"/>
            <w:vAlign w:val="center"/>
          </w:tcPr>
          <w:p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Directorate:</w:t>
            </w:r>
          </w:p>
        </w:tc>
        <w:tc>
          <w:tcPr>
            <w:tcW w:w="7178" w:type="dxa"/>
            <w:vAlign w:val="center"/>
          </w:tcPr>
          <w:p w:rsidR="00DC3CE8" w:rsidRPr="00DC3CE8" w:rsidRDefault="004744F6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Enabling Services</w:t>
            </w:r>
          </w:p>
        </w:tc>
      </w:tr>
      <w:tr w:rsidR="00DC3CE8" w:rsidRPr="00DC3CE8" w:rsidTr="00DC3CE8">
        <w:trPr>
          <w:trHeight w:val="409"/>
        </w:trPr>
        <w:tc>
          <w:tcPr>
            <w:tcW w:w="1838" w:type="dxa"/>
            <w:vAlign w:val="center"/>
          </w:tcPr>
          <w:p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Reports to:</w:t>
            </w:r>
          </w:p>
        </w:tc>
        <w:tc>
          <w:tcPr>
            <w:tcW w:w="7178" w:type="dxa"/>
            <w:vAlign w:val="center"/>
          </w:tcPr>
          <w:p w:rsidR="00DC3CE8" w:rsidRPr="00DC3CE8" w:rsidRDefault="001B7F3F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PEQF Manager (TBA)</w:t>
            </w:r>
          </w:p>
        </w:tc>
      </w:tr>
    </w:tbl>
    <w:p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Tr="00DC3CE8">
        <w:tc>
          <w:tcPr>
            <w:tcW w:w="9016" w:type="dxa"/>
            <w:shd w:val="clear" w:color="auto" w:fill="44546A" w:themeFill="text2"/>
          </w:tcPr>
          <w:p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Tr="002D59FD">
        <w:trPr>
          <w:trHeight w:val="1541"/>
        </w:trPr>
        <w:tc>
          <w:tcPr>
            <w:tcW w:w="9016" w:type="dxa"/>
          </w:tcPr>
          <w:p w:rsidR="00D65E95" w:rsidRDefault="00D65E95" w:rsidP="006741C3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4"/>
                <w:szCs w:val="24"/>
                <w:lang w:eastAsia="en-GB"/>
              </w:rPr>
            </w:pPr>
          </w:p>
          <w:p w:rsidR="006741C3" w:rsidRPr="001B7F3F" w:rsidRDefault="006741C3" w:rsidP="006741C3">
            <w:pPr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</w:pP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Learning and </w:t>
            </w:r>
            <w:r w:rsidR="005E3E45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Organisational 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Development sits within the </w:t>
            </w:r>
            <w:r w:rsidR="004744F6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Enabling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Services Directorate of Staffordshire Police and the Team are responsible for the design, delivery, evaluation and continual development of teaching products for police officers and police staff; in line with the College of Policing National Curriculum and supporting the priorities of the Force’s </w:t>
            </w:r>
            <w:r w:rsidR="001B7F3F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strategic plan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.</w:t>
            </w:r>
            <w:r w:rsidR="00EB25EF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The Role will report to the </w:t>
            </w:r>
            <w:r w:rsidR="001B7F3F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PEQF Manager.</w:t>
            </w:r>
          </w:p>
          <w:p w:rsidR="009D10EC" w:rsidRPr="001B7F3F" w:rsidRDefault="009D10EC" w:rsidP="006741C3">
            <w:pPr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</w:pPr>
          </w:p>
          <w:p w:rsidR="006741C3" w:rsidRPr="001B7F3F" w:rsidRDefault="006741C3" w:rsidP="006741C3">
            <w:pPr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</w:pP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Learning and </w:t>
            </w:r>
            <w:r w:rsidR="00635326"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Organisational 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Development is intrinsic to supporting Staffordshire Police’s </w:t>
            </w:r>
            <w:r w:rsidR="00200EED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Policing Plan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and strives to be at the forefront of </w:t>
            </w:r>
            <w:r w:rsidR="00200EED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delivering our key priorities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.  Team members will work with peers within Learning and </w:t>
            </w:r>
            <w:r w:rsidR="00200EED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Organisational 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Development, partner organisations, colleagues from regional Forces collaboration and national forums.</w:t>
            </w:r>
          </w:p>
          <w:p w:rsidR="009D10EC" w:rsidRPr="004B6B49" w:rsidRDefault="009D10EC" w:rsidP="006741C3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:rsidR="00C11576" w:rsidRDefault="001B7F3F" w:rsidP="001B7F3F">
            <w:pPr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</w:pP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The purpose of the role is to support Student </w:t>
            </w:r>
            <w:r w:rsidR="000E4F5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Police </w:t>
            </w:r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Officers as part of the PEQF Framework in advising, monitoring and guiding them in respect of special educational or </w:t>
            </w:r>
            <w:proofErr w:type="spellStart"/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neurodiverse</w:t>
            </w:r>
            <w:proofErr w:type="spellEnd"/>
            <w:r w:rsidRPr="001B7F3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requirements.  </w:t>
            </w:r>
            <w:r w:rsidR="000E4F5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The post holder will also provide advice to managers, supervisors and colleagues in relation to Reasonable Adjustment Plans a</w:t>
            </w:r>
            <w:r w:rsidR="008A0EB9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>nd</w:t>
            </w:r>
            <w:r w:rsidR="000E4F5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produce monthly progress status reports</w:t>
            </w:r>
            <w:r w:rsidR="007159F2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 to their line manager</w:t>
            </w:r>
            <w:r w:rsidR="000E4F5F">
              <w:rPr>
                <w:rFonts w:ascii="Arial" w:eastAsia="Times New Roman" w:hAnsi="Arial" w:cs="Arial"/>
                <w:color w:val="002060"/>
                <w:spacing w:val="-2"/>
                <w:kern w:val="24"/>
              </w:rPr>
              <w:t xml:space="preserve">.  </w:t>
            </w:r>
          </w:p>
          <w:p w:rsidR="000E4F5F" w:rsidRDefault="000E4F5F" w:rsidP="001B7F3F">
            <w:pPr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:rsidR="007159F2" w:rsidRDefault="000E4F5F" w:rsidP="001B7F3F">
            <w:pPr>
              <w:jc w:val="both"/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</w:pPr>
            <w:r w:rsidRPr="000E4F5F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 xml:space="preserve">The role will entail </w:t>
            </w:r>
            <w:r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 xml:space="preserve">negotiating with colleagues to ensure student officers with SEN get the identified support and necessary resources they require in order to perform their role.  </w:t>
            </w:r>
            <w:r w:rsidR="007159F2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 xml:space="preserve">It is expected that the role will involve some </w:t>
            </w:r>
            <w:r w:rsidRPr="000E4F5F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>travel</w:t>
            </w:r>
            <w:r w:rsidR="007159F2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>ling</w:t>
            </w:r>
            <w:r w:rsidRPr="000E4F5F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 xml:space="preserve"> around the county</w:t>
            </w:r>
            <w:r w:rsidR="007159F2"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>.</w:t>
            </w:r>
          </w:p>
          <w:p w:rsidR="000E4F5F" w:rsidRPr="00D65E95" w:rsidRDefault="000E4F5F" w:rsidP="001B7F3F">
            <w:pPr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color w:val="1F4E79" w:themeColor="accent1" w:themeShade="80"/>
                <w:spacing w:val="-2"/>
                <w:kern w:val="24"/>
              </w:rPr>
              <w:t xml:space="preserve"> </w:t>
            </w:r>
          </w:p>
        </w:tc>
      </w:tr>
    </w:tbl>
    <w:p w:rsidR="0068689F" w:rsidRDefault="006868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Tr="00E038F4">
        <w:trPr>
          <w:trHeight w:val="326"/>
        </w:trPr>
        <w:tc>
          <w:tcPr>
            <w:tcW w:w="9016" w:type="dxa"/>
            <w:shd w:val="clear" w:color="auto" w:fill="44546A" w:themeFill="text2"/>
          </w:tcPr>
          <w:p w:rsidR="00E038F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Tr="00317267">
        <w:trPr>
          <w:trHeight w:val="1302"/>
        </w:trPr>
        <w:tc>
          <w:tcPr>
            <w:tcW w:w="9016" w:type="dxa"/>
          </w:tcPr>
          <w:p w:rsidR="007C2143" w:rsidRPr="007C2143" w:rsidRDefault="007C2143" w:rsidP="007C214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To co-ordinate and provide appropriate advice, guidance, and support for students with </w:t>
            </w: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l</w:t>
            </w: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earning </w:t>
            </w: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and/or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neurodiverse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needs</w:t>
            </w:r>
          </w:p>
          <w:p w:rsidR="007C2143" w:rsidRPr="007C2143" w:rsidRDefault="007C2143" w:rsidP="001E4EC0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To work with a range of multi agencies in supporting</w:t>
            </w: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</w:t>
            </w: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students and implement service level agreements</w:t>
            </w:r>
          </w:p>
          <w:p w:rsidR="007C2143" w:rsidRPr="007C2143" w:rsidRDefault="007C2143" w:rsidP="007C214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To advise students</w:t>
            </w:r>
            <w:r w:rsidR="001B72BF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</w:t>
            </w: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wit</w:t>
            </w: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h learning and/or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neurodiverse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needs</w:t>
            </w: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both individually and in group sessions</w:t>
            </w:r>
          </w:p>
          <w:p w:rsidR="007C2143" w:rsidRDefault="007C2143" w:rsidP="007C214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To request, monitor and ensure that reasonable adjustments, based on individual needs, are made to facilitate student achievement</w:t>
            </w:r>
          </w:p>
          <w:p w:rsidR="007C2143" w:rsidRPr="007C2143" w:rsidRDefault="007C2143" w:rsidP="007C214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To assist individuals in completing the reasonable adjustments passport and support conversations with line managers to ensure adjustments are put in place</w:t>
            </w:r>
          </w:p>
          <w:p w:rsidR="007C2143" w:rsidRPr="007C2143" w:rsidRDefault="007C2143" w:rsidP="007C214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lastRenderedPageBreak/>
              <w:t xml:space="preserve">To support student independence by ensuring the </w:t>
            </w:r>
            <w:r w:rsidR="001B72BF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most appropriate</w:t>
            </w:r>
            <w:r w:rsidRPr="007C2143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assistive technology support and advice</w:t>
            </w:r>
            <w:r w:rsidR="001B72BF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 is made available</w:t>
            </w:r>
          </w:p>
          <w:p w:rsidR="00317267" w:rsidRPr="00317267" w:rsidRDefault="00317267" w:rsidP="0031726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17267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To maintain accurate, complete, and correct records </w:t>
            </w:r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for the purposes of advising internal and external partners as required</w:t>
            </w:r>
            <w:r w:rsidR="007159F2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  <w:p w:rsidR="00317267" w:rsidRPr="00317267" w:rsidRDefault="00317267" w:rsidP="0031726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40" w:after="240" w:line="336" w:lineRule="atLeast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Provide guidance and support for </w:t>
            </w:r>
            <w:r w:rsidR="00A41AB9">
              <w:rPr>
                <w:rFonts w:ascii="Arial" w:hAnsi="Arial" w:cs="Arial"/>
                <w:color w:val="002060"/>
                <w:sz w:val="22"/>
                <w:szCs w:val="22"/>
              </w:rPr>
              <w:t xml:space="preserve">PEQF </w:t>
            </w:r>
            <w:r w:rsidR="00FE4244">
              <w:rPr>
                <w:rFonts w:ascii="Arial" w:hAnsi="Arial" w:cs="Arial"/>
                <w:color w:val="002060"/>
                <w:sz w:val="22"/>
                <w:szCs w:val="22"/>
              </w:rPr>
              <w:t>staff and partners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to ensure shared knowledge and understanding of SEN and what reasonable adjustments are available and their purpose</w:t>
            </w:r>
            <w:r w:rsidR="007159F2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</w:tc>
      </w:tr>
      <w:tr w:rsidR="00DC3CE8" w:rsidTr="00EC522B">
        <w:trPr>
          <w:trHeight w:val="1419"/>
        </w:trPr>
        <w:tc>
          <w:tcPr>
            <w:tcW w:w="9016" w:type="dxa"/>
          </w:tcPr>
          <w:p w:rsidR="00DC3CE8" w:rsidRPr="007159F2" w:rsidRDefault="00DC3CE8" w:rsidP="007159F2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lastRenderedPageBreak/>
              <w:t>And to be accountable for: (</w:t>
            </w:r>
            <w:proofErr w:type="spellStart"/>
            <w:r>
              <w:rPr>
                <w:rFonts w:ascii="Arial" w:hAnsi="Arial" w:cs="Arial"/>
                <w:color w:val="1F3864" w:themeColor="accent5" w:themeShade="80"/>
              </w:rPr>
              <w:t>ie</w:t>
            </w:r>
            <w:proofErr w:type="spellEnd"/>
            <w:r>
              <w:rPr>
                <w:rFonts w:ascii="Arial" w:hAnsi="Arial" w:cs="Arial"/>
                <w:color w:val="1F3864" w:themeColor="accent5" w:themeShade="80"/>
              </w:rPr>
              <w:t xml:space="preserve"> responsibilities held by others but measured and owned by this role)</w:t>
            </w:r>
          </w:p>
        </w:tc>
      </w:tr>
    </w:tbl>
    <w:p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4820"/>
        <w:gridCol w:w="1366"/>
      </w:tblGrid>
      <w:tr w:rsidR="00B30A61" w:rsidTr="00E37929">
        <w:tc>
          <w:tcPr>
            <w:tcW w:w="9016" w:type="dxa"/>
            <w:gridSpan w:val="4"/>
            <w:shd w:val="clear" w:color="auto" w:fill="44546A" w:themeFill="text2"/>
          </w:tcPr>
          <w:p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:rsidTr="00E37929">
        <w:tc>
          <w:tcPr>
            <w:tcW w:w="9016" w:type="dxa"/>
            <w:gridSpan w:val="4"/>
          </w:tcPr>
          <w:p w:rsidR="00B30A61" w:rsidRPr="00E12CFF" w:rsidRDefault="00B30A61" w:rsidP="009F75E9">
            <w:pPr>
              <w:spacing w:before="240"/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:rsidR="00B30A61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:rsidR="009F75E9" w:rsidRPr="00CB09CF" w:rsidRDefault="009F75E9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317267" w:rsidRPr="00317267" w:rsidTr="00D514AD">
        <w:tc>
          <w:tcPr>
            <w:tcW w:w="9016" w:type="dxa"/>
            <w:gridSpan w:val="4"/>
          </w:tcPr>
          <w:p w:rsidR="007271A5" w:rsidRPr="00317267" w:rsidRDefault="007271A5" w:rsidP="00E37929">
            <w:pPr>
              <w:rPr>
                <w:rFonts w:ascii="Arial" w:eastAsiaTheme="minorEastAsia" w:hAnsi="Arial" w:cs="Arial"/>
                <w:b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b/>
                <w:color w:val="002060"/>
                <w:lang w:eastAsia="en-GB"/>
              </w:rPr>
              <w:t>Resolute, compassionate and committed</w:t>
            </w:r>
          </w:p>
          <w:p w:rsidR="007271A5" w:rsidRPr="00317267" w:rsidRDefault="007271A5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are emotionally aware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Valuing Diversity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take ownership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AA3B24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Customer Service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DE0DFB">
        <w:tc>
          <w:tcPr>
            <w:tcW w:w="9016" w:type="dxa"/>
            <w:gridSpan w:val="4"/>
          </w:tcPr>
          <w:p w:rsidR="007271A5" w:rsidRPr="00317267" w:rsidRDefault="007271A5" w:rsidP="00E37929">
            <w:pPr>
              <w:rPr>
                <w:rFonts w:ascii="Arial" w:eastAsiaTheme="minorEastAsia" w:hAnsi="Arial" w:cs="Arial"/>
                <w:b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b/>
                <w:color w:val="002060"/>
                <w:lang w:eastAsia="en-GB"/>
              </w:rPr>
              <w:t>Inclusive, enabling and visionary leadership</w:t>
            </w:r>
          </w:p>
          <w:p w:rsidR="007271A5" w:rsidRPr="00317267" w:rsidRDefault="007271A5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are collaborative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Partner Working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deliver, support and inspire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(self) Leadership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E30B57">
        <w:tc>
          <w:tcPr>
            <w:tcW w:w="9016" w:type="dxa"/>
            <w:gridSpan w:val="4"/>
          </w:tcPr>
          <w:p w:rsidR="007271A5" w:rsidRPr="00317267" w:rsidRDefault="007271A5" w:rsidP="00E37929">
            <w:pPr>
              <w:rPr>
                <w:rFonts w:ascii="Arial" w:eastAsiaTheme="minorEastAsia" w:hAnsi="Arial" w:cs="Arial"/>
                <w:b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b/>
                <w:color w:val="002060"/>
                <w:lang w:eastAsia="en-GB"/>
              </w:rPr>
              <w:t>Intelligent, creative and informed policing</w:t>
            </w:r>
          </w:p>
          <w:p w:rsidR="007271A5" w:rsidRPr="00317267" w:rsidRDefault="007271A5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analyse critically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Problem Solving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5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Situational Judgement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317267" w:rsidRPr="00317267" w:rsidTr="009C57AA">
        <w:trPr>
          <w:trHeight w:val="273"/>
        </w:trPr>
        <w:tc>
          <w:tcPr>
            <w:tcW w:w="240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  <w:r w:rsidRPr="00317267">
              <w:rPr>
                <w:rFonts w:ascii="Arial" w:eastAsiaTheme="minorEastAsia" w:hAnsi="Arial" w:cs="Arial"/>
                <w:color w:val="002060"/>
                <w:lang w:eastAsia="en-GB"/>
              </w:rPr>
              <w:t>We are innovative and open-minded</w:t>
            </w:r>
          </w:p>
        </w:tc>
        <w:tc>
          <w:tcPr>
            <w:tcW w:w="425" w:type="dxa"/>
            <w:vMerge w:val="restart"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Continuous Improvement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  <w:tr w:rsidR="00CB09CF" w:rsidRPr="00317267" w:rsidTr="009C57AA">
        <w:trPr>
          <w:trHeight w:val="263"/>
        </w:trPr>
        <w:tc>
          <w:tcPr>
            <w:tcW w:w="240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25" w:type="dxa"/>
            <w:vMerge/>
          </w:tcPr>
          <w:p w:rsidR="00CB09CF" w:rsidRPr="00317267" w:rsidRDefault="00CB09CF" w:rsidP="00E37929">
            <w:pPr>
              <w:rPr>
                <w:rFonts w:ascii="Arial" w:eastAsiaTheme="minorEastAsia" w:hAnsi="Arial" w:cs="Arial"/>
                <w:color w:val="002060"/>
                <w:lang w:eastAsia="en-GB"/>
              </w:rPr>
            </w:pPr>
          </w:p>
        </w:tc>
        <w:tc>
          <w:tcPr>
            <w:tcW w:w="4820" w:type="dxa"/>
          </w:tcPr>
          <w:p w:rsidR="00CB09CF" w:rsidRPr="00317267" w:rsidRDefault="00CB09CF" w:rsidP="0089177D">
            <w:pPr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Futurology</w:t>
            </w:r>
          </w:p>
        </w:tc>
        <w:tc>
          <w:tcPr>
            <w:tcW w:w="1366" w:type="dxa"/>
          </w:tcPr>
          <w:p w:rsidR="00CB09CF" w:rsidRPr="00317267" w:rsidRDefault="0044553D" w:rsidP="0044553D">
            <w:pPr>
              <w:jc w:val="center"/>
              <w:rPr>
                <w:rFonts w:ascii="Arial" w:hAnsi="Arial" w:cs="Arial"/>
                <w:color w:val="002060"/>
              </w:rPr>
            </w:pPr>
            <w:r w:rsidRPr="00317267">
              <w:rPr>
                <w:rFonts w:ascii="Arial" w:hAnsi="Arial" w:cs="Arial"/>
                <w:color w:val="002060"/>
              </w:rPr>
              <w:t>2</w:t>
            </w:r>
          </w:p>
        </w:tc>
      </w:tr>
    </w:tbl>
    <w:p w:rsidR="00B30A61" w:rsidRPr="00317267" w:rsidRDefault="00B30A61">
      <w:pPr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Tr="0060652C">
        <w:tc>
          <w:tcPr>
            <w:tcW w:w="9016" w:type="dxa"/>
            <w:gridSpan w:val="2"/>
            <w:shd w:val="clear" w:color="auto" w:fill="44546A" w:themeFill="text2"/>
          </w:tcPr>
          <w:p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Tr="006C0D36">
        <w:tc>
          <w:tcPr>
            <w:tcW w:w="4508" w:type="dxa"/>
          </w:tcPr>
          <w:p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Desirable:</w:t>
            </w:r>
          </w:p>
        </w:tc>
      </w:tr>
      <w:tr w:rsidR="00CB09CF" w:rsidTr="00CB09CF">
        <w:trPr>
          <w:trHeight w:val="1227"/>
        </w:trPr>
        <w:tc>
          <w:tcPr>
            <w:tcW w:w="4508" w:type="dxa"/>
          </w:tcPr>
          <w:p w:rsidR="00EC522B" w:rsidRPr="00BC5EA8" w:rsidRDefault="007159F2" w:rsidP="0031726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Hold a relevant SEN qualification at level 3 or above, or evidence equivalent </w:t>
            </w:r>
            <w:r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lastRenderedPageBreak/>
              <w:t>experience within an academic environment.</w:t>
            </w:r>
          </w:p>
          <w:p w:rsidR="001413D2" w:rsidRPr="00317267" w:rsidRDefault="001413D2" w:rsidP="009635DD">
            <w:pPr>
              <w:ind w:right="124"/>
              <w:rPr>
                <w:rFonts w:ascii="Tahoma" w:hAnsi="Tahoma" w:cs="Tahoma"/>
                <w:color w:val="002060"/>
              </w:rPr>
            </w:pPr>
          </w:p>
        </w:tc>
        <w:tc>
          <w:tcPr>
            <w:tcW w:w="4508" w:type="dxa"/>
          </w:tcPr>
          <w:p w:rsidR="004D1324" w:rsidRPr="00BC5EA8" w:rsidRDefault="00317267" w:rsidP="004D13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BC5EA8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lastRenderedPageBreak/>
              <w:t>Certificate in Autism Awaren</w:t>
            </w:r>
            <w:r w:rsidR="004D1324" w:rsidRPr="00BC5EA8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ess</w:t>
            </w:r>
          </w:p>
          <w:p w:rsidR="00317267" w:rsidRPr="00BC5EA8" w:rsidRDefault="00317267" w:rsidP="004D13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BC5EA8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Certificate in Behavioural management</w:t>
            </w:r>
          </w:p>
          <w:p w:rsidR="004D1324" w:rsidRDefault="004D1324" w:rsidP="004D13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BC5EA8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lastRenderedPageBreak/>
              <w:t>Certified Dyslexia assessment qualification</w:t>
            </w:r>
          </w:p>
          <w:p w:rsidR="00DD1732" w:rsidRPr="00BC5EA8" w:rsidRDefault="00590173" w:rsidP="004D13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40" w:after="240" w:line="336" w:lineRule="atLeas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590173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Experience </w:t>
            </w:r>
            <w:r w:rsidR="00DD1732" w:rsidRPr="00590173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in supporting students with </w:t>
            </w:r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neurodiversity needs</w:t>
            </w:r>
          </w:p>
          <w:p w:rsidR="001413D2" w:rsidRPr="00317267" w:rsidRDefault="001413D2" w:rsidP="009635DD">
            <w:pPr>
              <w:ind w:right="124"/>
              <w:rPr>
                <w:rFonts w:ascii="Tahoma" w:hAnsi="Tahoma" w:cs="Tahoma"/>
                <w:color w:val="002060"/>
              </w:rPr>
            </w:pPr>
          </w:p>
        </w:tc>
      </w:tr>
    </w:tbl>
    <w:p w:rsidR="00CE1263" w:rsidRDefault="00CE1263">
      <w:pPr>
        <w:rPr>
          <w:rFonts w:ascii="Arial" w:hAnsi="Arial" w:cs="Arial"/>
        </w:rPr>
      </w:pPr>
    </w:p>
    <w:p w:rsidR="00A241A2" w:rsidRDefault="00A241A2">
      <w:pPr>
        <w:rPr>
          <w:rFonts w:ascii="Arial" w:hAnsi="Arial" w:cs="Arial"/>
        </w:rPr>
      </w:pPr>
    </w:p>
    <w:p w:rsidR="00A241A2" w:rsidRDefault="00A241A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1"/>
      </w:tblGrid>
      <w:tr w:rsidR="000B34F2" w:rsidTr="003A514D">
        <w:trPr>
          <w:trHeight w:val="205"/>
        </w:trPr>
        <w:tc>
          <w:tcPr>
            <w:tcW w:w="9001" w:type="dxa"/>
            <w:gridSpan w:val="2"/>
            <w:shd w:val="clear" w:color="auto" w:fill="44546A" w:themeFill="text2"/>
          </w:tcPr>
          <w:p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CB09CF" w:rsidTr="00CB09CF">
        <w:trPr>
          <w:trHeight w:val="235"/>
        </w:trPr>
        <w:tc>
          <w:tcPr>
            <w:tcW w:w="4500" w:type="dxa"/>
          </w:tcPr>
          <w:p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01" w:type="dxa"/>
          </w:tcPr>
          <w:p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Tr="00CB09CF">
        <w:trPr>
          <w:trHeight w:val="1117"/>
        </w:trPr>
        <w:tc>
          <w:tcPr>
            <w:tcW w:w="4500" w:type="dxa"/>
          </w:tcPr>
          <w:p w:rsidR="009635DD" w:rsidRPr="00EC522B" w:rsidRDefault="009635DD" w:rsidP="00EC522B">
            <w:pPr>
              <w:pStyle w:val="ListParagraph"/>
              <w:numPr>
                <w:ilvl w:val="0"/>
                <w:numId w:val="36"/>
              </w:numPr>
              <w:spacing w:before="2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C522B">
              <w:rPr>
                <w:rFonts w:ascii="Arial" w:hAnsi="Arial" w:cs="Arial"/>
                <w:color w:val="002060"/>
                <w:sz w:val="22"/>
                <w:szCs w:val="22"/>
              </w:rPr>
              <w:t>Must have the ability to communicate with, and influence</w:t>
            </w:r>
            <w:r w:rsidR="00EC522B" w:rsidRPr="00EC522B">
              <w:rPr>
                <w:rFonts w:ascii="Arial" w:hAnsi="Arial" w:cs="Arial"/>
                <w:color w:val="002060"/>
                <w:sz w:val="22"/>
                <w:szCs w:val="22"/>
              </w:rPr>
              <w:t xml:space="preserve"> at all levels of the </w:t>
            </w:r>
            <w:r w:rsidR="008A0EB9">
              <w:rPr>
                <w:rFonts w:ascii="Arial" w:hAnsi="Arial" w:cs="Arial"/>
                <w:color w:val="002060"/>
                <w:sz w:val="22"/>
                <w:szCs w:val="22"/>
              </w:rPr>
              <w:t>organisation</w:t>
            </w:r>
          </w:p>
          <w:p w:rsidR="009635DD" w:rsidRPr="00EC522B" w:rsidRDefault="00EC522B" w:rsidP="00EC522B">
            <w:pPr>
              <w:pStyle w:val="ListParagraph"/>
              <w:numPr>
                <w:ilvl w:val="0"/>
                <w:numId w:val="36"/>
              </w:numPr>
              <w:tabs>
                <w:tab w:val="left" w:pos="3572"/>
              </w:tabs>
              <w:spacing w:before="2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C522B">
              <w:rPr>
                <w:rFonts w:ascii="Arial" w:hAnsi="Arial" w:cs="Arial"/>
                <w:color w:val="002060"/>
                <w:sz w:val="22"/>
                <w:szCs w:val="22"/>
              </w:rPr>
              <w:t>D</w:t>
            </w:r>
            <w:r w:rsidR="009635DD" w:rsidRPr="00EC522B">
              <w:rPr>
                <w:rFonts w:ascii="Arial" w:hAnsi="Arial" w:cs="Arial"/>
                <w:color w:val="002060"/>
                <w:sz w:val="22"/>
                <w:szCs w:val="22"/>
              </w:rPr>
              <w:t xml:space="preserve">emonstrate experience of Microsoft Office packages, including </w:t>
            </w:r>
            <w:r w:rsidRPr="00EC522B">
              <w:rPr>
                <w:rFonts w:ascii="Arial" w:hAnsi="Arial" w:cs="Arial"/>
                <w:color w:val="002060"/>
                <w:sz w:val="22"/>
                <w:szCs w:val="22"/>
              </w:rPr>
              <w:t>Excel to intermediate level</w:t>
            </w:r>
          </w:p>
          <w:p w:rsidR="00CB09CF" w:rsidRPr="009635DD" w:rsidRDefault="00CB09CF" w:rsidP="009635D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4501" w:type="dxa"/>
          </w:tcPr>
          <w:p w:rsidR="00CB09CF" w:rsidRPr="00557976" w:rsidRDefault="00CB09CF" w:rsidP="00557976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</w:tr>
    </w:tbl>
    <w:p w:rsidR="000B34F2" w:rsidRDefault="000B34F2">
      <w:pPr>
        <w:rPr>
          <w:rFonts w:ascii="Arial" w:hAnsi="Arial" w:cs="Arial"/>
        </w:rPr>
      </w:pP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9036"/>
      </w:tblGrid>
      <w:tr w:rsidR="00F370AA" w:rsidTr="00557976">
        <w:trPr>
          <w:trHeight w:val="193"/>
        </w:trPr>
        <w:tc>
          <w:tcPr>
            <w:tcW w:w="9036" w:type="dxa"/>
            <w:shd w:val="clear" w:color="auto" w:fill="44546A" w:themeFill="text2"/>
          </w:tcPr>
          <w:p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Tr="00557976">
        <w:trPr>
          <w:trHeight w:val="956"/>
        </w:trPr>
        <w:tc>
          <w:tcPr>
            <w:tcW w:w="9036" w:type="dxa"/>
          </w:tcPr>
          <w:p w:rsidR="00635326" w:rsidRPr="00EC522B" w:rsidRDefault="00635326" w:rsidP="00EC522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15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C522B">
              <w:rPr>
                <w:rFonts w:ascii="Arial" w:hAnsi="Arial" w:cs="Arial"/>
                <w:color w:val="002060"/>
                <w:sz w:val="22"/>
                <w:szCs w:val="22"/>
              </w:rPr>
              <w:t xml:space="preserve">Postholder </w:t>
            </w:r>
            <w:r w:rsidR="00EC522B" w:rsidRPr="00EC522B">
              <w:rPr>
                <w:rFonts w:ascii="Arial" w:hAnsi="Arial" w:cs="Arial"/>
                <w:color w:val="002060"/>
                <w:sz w:val="22"/>
                <w:szCs w:val="22"/>
              </w:rPr>
              <w:t xml:space="preserve">will be </w:t>
            </w:r>
            <w:r w:rsidR="008A0EB9">
              <w:rPr>
                <w:rFonts w:ascii="Arial" w:hAnsi="Arial" w:cs="Arial"/>
                <w:color w:val="002060"/>
                <w:sz w:val="22"/>
                <w:szCs w:val="22"/>
              </w:rPr>
              <w:t xml:space="preserve">expected to undertake an appropriate apprenticeship to support their ongoing development into the role, and </w:t>
            </w:r>
            <w:r w:rsidR="00EC522B" w:rsidRPr="00EC522B">
              <w:rPr>
                <w:rFonts w:ascii="Arial" w:hAnsi="Arial" w:cs="Arial"/>
                <w:color w:val="002060"/>
                <w:sz w:val="22"/>
                <w:szCs w:val="22"/>
              </w:rPr>
              <w:t>encouraged to undertake appropriate ongoing development in the area of Special Educational Needs</w:t>
            </w:r>
            <w:r w:rsidR="008A0EB9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</w:tc>
      </w:tr>
    </w:tbl>
    <w:p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:rsidTr="00822EF3">
        <w:trPr>
          <w:trHeight w:val="898"/>
        </w:trPr>
        <w:tc>
          <w:tcPr>
            <w:tcW w:w="9001" w:type="dxa"/>
          </w:tcPr>
          <w:p w:rsidR="00327863" w:rsidRDefault="00327863" w:rsidP="00327863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</w:p>
          <w:p w:rsidR="00327863" w:rsidRPr="006A069B" w:rsidRDefault="00327863" w:rsidP="00EC522B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2"/>
                <w:szCs w:val="22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2"/>
                <w:szCs w:val="22"/>
              </w:rPr>
              <w:t>Holder of a full UK driving licence (essential)</w:t>
            </w:r>
          </w:p>
          <w:p w:rsidR="000A2411" w:rsidRPr="00327863" w:rsidRDefault="000A2411" w:rsidP="00327863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FB6856" w:rsidRDefault="00FB6856">
      <w:pPr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FB6856" w:rsidRPr="00C36B17" w:rsidTr="00450DB9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FB6856" w:rsidRPr="00C36B17" w:rsidRDefault="00FB6856" w:rsidP="00450DB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Yes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8A0EB9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7F5E9A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7F5E9A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Yes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No</w:t>
            </w:r>
          </w:p>
        </w:tc>
      </w:tr>
      <w:tr w:rsidR="006A069B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Yes</w:t>
            </w:r>
          </w:p>
        </w:tc>
      </w:tr>
      <w:tr w:rsidR="00FB6856" w:rsidRPr="006A069B" w:rsidTr="00450DB9">
        <w:trPr>
          <w:trHeight w:val="333"/>
        </w:trPr>
        <w:tc>
          <w:tcPr>
            <w:tcW w:w="3681" w:type="dxa"/>
            <w:vAlign w:val="center"/>
          </w:tcPr>
          <w:p w:rsidR="00FB6856" w:rsidRPr="006A069B" w:rsidRDefault="00FB6856" w:rsidP="00450DB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lastRenderedPageBreak/>
              <w:t>Notice Period</w:t>
            </w:r>
          </w:p>
        </w:tc>
        <w:tc>
          <w:tcPr>
            <w:tcW w:w="921" w:type="dxa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  <w:r w:rsidRPr="006A069B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FB6856" w:rsidRPr="006A069B" w:rsidRDefault="00FB6856" w:rsidP="00450DB9">
            <w:pP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</w:rPr>
            </w:pPr>
          </w:p>
        </w:tc>
      </w:tr>
    </w:tbl>
    <w:p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EF" w:rsidRDefault="004A15EF" w:rsidP="000C2E9E">
      <w:pPr>
        <w:spacing w:after="0" w:line="240" w:lineRule="auto"/>
      </w:pPr>
      <w:r>
        <w:separator/>
      </w:r>
    </w:p>
  </w:endnote>
  <w:endnote w:type="continuationSeparator" w:id="0">
    <w:p w:rsidR="004A15EF" w:rsidRDefault="004A15EF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9571F" w:rsidRPr="00D9571F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FC2346">
      <w:t xml:space="preserve">e Police Role Profile:  </w:t>
    </w:r>
    <w:r w:rsidR="001B72BF">
      <w:rPr>
        <w:b/>
      </w:rPr>
      <w:t>S</w:t>
    </w:r>
    <w:r w:rsidR="007159F2">
      <w:rPr>
        <w:b/>
      </w:rPr>
      <w:t>tudent Support Officer - SEN</w:t>
    </w:r>
    <w:r w:rsidR="001B72BF">
      <w:rPr>
        <w:b/>
      </w:rPr>
      <w:t xml:space="preserve"> - PEQF</w:t>
    </w:r>
  </w:p>
  <w:p w:rsidR="00FC2346" w:rsidRPr="00FC2346" w:rsidRDefault="00D9571F">
    <w:pPr>
      <w:pStyle w:val="Footer"/>
    </w:pPr>
    <w:r>
      <w:t xml:space="preserve">       Last Updated:  </w:t>
    </w:r>
    <w:r w:rsidR="001B72BF"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EF" w:rsidRDefault="004A15EF" w:rsidP="000C2E9E">
      <w:pPr>
        <w:spacing w:after="0" w:line="240" w:lineRule="auto"/>
      </w:pPr>
      <w:r>
        <w:separator/>
      </w:r>
    </w:p>
  </w:footnote>
  <w:footnote w:type="continuationSeparator" w:id="0">
    <w:p w:rsidR="004A15EF" w:rsidRDefault="004A15EF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60143"/>
    <w:multiLevelType w:val="hybridMultilevel"/>
    <w:tmpl w:val="303E3A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3357"/>
    <w:multiLevelType w:val="hybridMultilevel"/>
    <w:tmpl w:val="9330FC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B8075F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137A"/>
    <w:multiLevelType w:val="hybridMultilevel"/>
    <w:tmpl w:val="A7E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60DE"/>
    <w:multiLevelType w:val="hybridMultilevel"/>
    <w:tmpl w:val="D9788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6A5B"/>
    <w:multiLevelType w:val="hybridMultilevel"/>
    <w:tmpl w:val="FA38B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A15F3"/>
    <w:multiLevelType w:val="hybridMultilevel"/>
    <w:tmpl w:val="7EC484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F5B40"/>
    <w:multiLevelType w:val="hybridMultilevel"/>
    <w:tmpl w:val="F7B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9B06F6"/>
    <w:multiLevelType w:val="hybridMultilevel"/>
    <w:tmpl w:val="602851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A2466C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23"/>
  </w:num>
  <w:num w:numId="5">
    <w:abstractNumId w:val="33"/>
  </w:num>
  <w:num w:numId="6">
    <w:abstractNumId w:val="26"/>
  </w:num>
  <w:num w:numId="7">
    <w:abstractNumId w:val="22"/>
  </w:num>
  <w:num w:numId="8">
    <w:abstractNumId w:val="27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32"/>
  </w:num>
  <w:num w:numId="14">
    <w:abstractNumId w:val="35"/>
  </w:num>
  <w:num w:numId="15">
    <w:abstractNumId w:val="9"/>
  </w:num>
  <w:num w:numId="16">
    <w:abstractNumId w:val="3"/>
  </w:num>
  <w:num w:numId="17">
    <w:abstractNumId w:val="34"/>
  </w:num>
  <w:num w:numId="18">
    <w:abstractNumId w:val="29"/>
  </w:num>
  <w:num w:numId="19">
    <w:abstractNumId w:val="25"/>
  </w:num>
  <w:num w:numId="20">
    <w:abstractNumId w:val="21"/>
  </w:num>
  <w:num w:numId="21">
    <w:abstractNumId w:val="6"/>
  </w:num>
  <w:num w:numId="22">
    <w:abstractNumId w:val="14"/>
  </w:num>
  <w:num w:numId="23">
    <w:abstractNumId w:val="16"/>
  </w:num>
  <w:num w:numId="24">
    <w:abstractNumId w:val="4"/>
  </w:num>
  <w:num w:numId="25">
    <w:abstractNumId w:val="19"/>
  </w:num>
  <w:num w:numId="26">
    <w:abstractNumId w:val="36"/>
  </w:num>
  <w:num w:numId="27">
    <w:abstractNumId w:val="5"/>
  </w:num>
  <w:num w:numId="28">
    <w:abstractNumId w:val="20"/>
  </w:num>
  <w:num w:numId="29">
    <w:abstractNumId w:val="1"/>
  </w:num>
  <w:num w:numId="30">
    <w:abstractNumId w:val="10"/>
  </w:num>
  <w:num w:numId="31">
    <w:abstractNumId w:val="28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775EF"/>
    <w:rsid w:val="000952B6"/>
    <w:rsid w:val="000A2411"/>
    <w:rsid w:val="000B34F2"/>
    <w:rsid w:val="000B4889"/>
    <w:rsid w:val="000C2E9E"/>
    <w:rsid w:val="000D1170"/>
    <w:rsid w:val="000D2467"/>
    <w:rsid w:val="000D570C"/>
    <w:rsid w:val="000E4F5F"/>
    <w:rsid w:val="0010658C"/>
    <w:rsid w:val="00114500"/>
    <w:rsid w:val="001413D2"/>
    <w:rsid w:val="0017300D"/>
    <w:rsid w:val="00180768"/>
    <w:rsid w:val="0018208B"/>
    <w:rsid w:val="001A3552"/>
    <w:rsid w:val="001A728D"/>
    <w:rsid w:val="001B5604"/>
    <w:rsid w:val="001B72BF"/>
    <w:rsid w:val="001B7F3F"/>
    <w:rsid w:val="001E3C0B"/>
    <w:rsid w:val="00200EED"/>
    <w:rsid w:val="002162B1"/>
    <w:rsid w:val="00252636"/>
    <w:rsid w:val="002543BF"/>
    <w:rsid w:val="00280D65"/>
    <w:rsid w:val="002A2C45"/>
    <w:rsid w:val="002A520B"/>
    <w:rsid w:val="002C4C8F"/>
    <w:rsid w:val="002C5F35"/>
    <w:rsid w:val="002D59FD"/>
    <w:rsid w:val="002E39A9"/>
    <w:rsid w:val="002F4841"/>
    <w:rsid w:val="00302152"/>
    <w:rsid w:val="003076B4"/>
    <w:rsid w:val="00310DC7"/>
    <w:rsid w:val="00317267"/>
    <w:rsid w:val="00327863"/>
    <w:rsid w:val="003538D6"/>
    <w:rsid w:val="003742DB"/>
    <w:rsid w:val="003A04C0"/>
    <w:rsid w:val="003D6227"/>
    <w:rsid w:val="003F712C"/>
    <w:rsid w:val="0044553D"/>
    <w:rsid w:val="00452025"/>
    <w:rsid w:val="00454570"/>
    <w:rsid w:val="00460F4E"/>
    <w:rsid w:val="004744F6"/>
    <w:rsid w:val="00481839"/>
    <w:rsid w:val="004A15EF"/>
    <w:rsid w:val="004C6765"/>
    <w:rsid w:val="004D0D57"/>
    <w:rsid w:val="004D1324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1393F"/>
    <w:rsid w:val="005232DC"/>
    <w:rsid w:val="0054544C"/>
    <w:rsid w:val="00557976"/>
    <w:rsid w:val="00590173"/>
    <w:rsid w:val="00596BD7"/>
    <w:rsid w:val="005A3514"/>
    <w:rsid w:val="005C20BA"/>
    <w:rsid w:val="005C2B4B"/>
    <w:rsid w:val="005E3E45"/>
    <w:rsid w:val="00603FC6"/>
    <w:rsid w:val="00631C3F"/>
    <w:rsid w:val="00635326"/>
    <w:rsid w:val="006521C4"/>
    <w:rsid w:val="006741C3"/>
    <w:rsid w:val="006834B4"/>
    <w:rsid w:val="0068363E"/>
    <w:rsid w:val="00684776"/>
    <w:rsid w:val="0068689F"/>
    <w:rsid w:val="006A069B"/>
    <w:rsid w:val="006B20FC"/>
    <w:rsid w:val="0070428F"/>
    <w:rsid w:val="007159F2"/>
    <w:rsid w:val="00721B02"/>
    <w:rsid w:val="007271A5"/>
    <w:rsid w:val="0074519E"/>
    <w:rsid w:val="0076789E"/>
    <w:rsid w:val="00775F10"/>
    <w:rsid w:val="007971D0"/>
    <w:rsid w:val="007B328D"/>
    <w:rsid w:val="007B4392"/>
    <w:rsid w:val="007C2143"/>
    <w:rsid w:val="007C4DFC"/>
    <w:rsid w:val="007C65D3"/>
    <w:rsid w:val="007F5E9A"/>
    <w:rsid w:val="00816DE9"/>
    <w:rsid w:val="00822EF3"/>
    <w:rsid w:val="00834942"/>
    <w:rsid w:val="00844836"/>
    <w:rsid w:val="00844D60"/>
    <w:rsid w:val="00863F7E"/>
    <w:rsid w:val="00870496"/>
    <w:rsid w:val="008742F6"/>
    <w:rsid w:val="00877325"/>
    <w:rsid w:val="00884179"/>
    <w:rsid w:val="0089177D"/>
    <w:rsid w:val="008A0EB9"/>
    <w:rsid w:val="008B701A"/>
    <w:rsid w:val="008E1EDE"/>
    <w:rsid w:val="008F1B4D"/>
    <w:rsid w:val="00933226"/>
    <w:rsid w:val="00934A0E"/>
    <w:rsid w:val="009635DD"/>
    <w:rsid w:val="0097454B"/>
    <w:rsid w:val="00986264"/>
    <w:rsid w:val="009B061C"/>
    <w:rsid w:val="009B43C4"/>
    <w:rsid w:val="009C57AA"/>
    <w:rsid w:val="009D10EC"/>
    <w:rsid w:val="009D5C7A"/>
    <w:rsid w:val="009F75E9"/>
    <w:rsid w:val="00A241A2"/>
    <w:rsid w:val="00A41AB9"/>
    <w:rsid w:val="00A62B48"/>
    <w:rsid w:val="00A65C19"/>
    <w:rsid w:val="00A867D3"/>
    <w:rsid w:val="00AA3B24"/>
    <w:rsid w:val="00AA3D78"/>
    <w:rsid w:val="00AC3028"/>
    <w:rsid w:val="00AC6480"/>
    <w:rsid w:val="00AF108F"/>
    <w:rsid w:val="00AF37D6"/>
    <w:rsid w:val="00B01D15"/>
    <w:rsid w:val="00B12180"/>
    <w:rsid w:val="00B1336A"/>
    <w:rsid w:val="00B267DC"/>
    <w:rsid w:val="00B30A61"/>
    <w:rsid w:val="00B44834"/>
    <w:rsid w:val="00B524B6"/>
    <w:rsid w:val="00B53953"/>
    <w:rsid w:val="00B55CF3"/>
    <w:rsid w:val="00B649C0"/>
    <w:rsid w:val="00B81CE5"/>
    <w:rsid w:val="00BA2276"/>
    <w:rsid w:val="00BA73CF"/>
    <w:rsid w:val="00BC573B"/>
    <w:rsid w:val="00BC5EA8"/>
    <w:rsid w:val="00BE1CE3"/>
    <w:rsid w:val="00C0360D"/>
    <w:rsid w:val="00C05B35"/>
    <w:rsid w:val="00C11576"/>
    <w:rsid w:val="00C25DBF"/>
    <w:rsid w:val="00C44821"/>
    <w:rsid w:val="00C45165"/>
    <w:rsid w:val="00C501B5"/>
    <w:rsid w:val="00C62A02"/>
    <w:rsid w:val="00CB09CF"/>
    <w:rsid w:val="00CB17B5"/>
    <w:rsid w:val="00CC11AD"/>
    <w:rsid w:val="00CD7CA4"/>
    <w:rsid w:val="00CE1263"/>
    <w:rsid w:val="00D016AA"/>
    <w:rsid w:val="00D30A91"/>
    <w:rsid w:val="00D56BA7"/>
    <w:rsid w:val="00D65E95"/>
    <w:rsid w:val="00D701A8"/>
    <w:rsid w:val="00D86487"/>
    <w:rsid w:val="00D94BAA"/>
    <w:rsid w:val="00D9571F"/>
    <w:rsid w:val="00DB747A"/>
    <w:rsid w:val="00DC3CE8"/>
    <w:rsid w:val="00DD1732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50962"/>
    <w:rsid w:val="00E60A06"/>
    <w:rsid w:val="00E64E4F"/>
    <w:rsid w:val="00E93FB6"/>
    <w:rsid w:val="00EA7289"/>
    <w:rsid w:val="00EB25EF"/>
    <w:rsid w:val="00EB4C8D"/>
    <w:rsid w:val="00EC522B"/>
    <w:rsid w:val="00EC6A58"/>
    <w:rsid w:val="00ED2B2E"/>
    <w:rsid w:val="00EF0D06"/>
    <w:rsid w:val="00EF0F72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B4ADF"/>
    <w:rsid w:val="00FB6856"/>
    <w:rsid w:val="00FC2346"/>
    <w:rsid w:val="00FC3996"/>
    <w:rsid w:val="00FC56B3"/>
    <w:rsid w:val="00FD3A6B"/>
    <w:rsid w:val="00FD3C00"/>
    <w:rsid w:val="00FE4244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B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D71F-1003-4467-8105-C7398C72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Edge</dc:creator>
  <cp:keywords/>
  <dc:description/>
  <cp:lastModifiedBy>Gillian Wheeler</cp:lastModifiedBy>
  <cp:revision>2</cp:revision>
  <dcterms:created xsi:type="dcterms:W3CDTF">2023-05-25T13:24:00Z</dcterms:created>
  <dcterms:modified xsi:type="dcterms:W3CDTF">2023-05-25T13:24:00Z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2023-04-19T14:00:48Z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af7595aa-516e-44ec-b2e4-1cba4c553801</vt:lpwstr>
  </property>
  <property fmtid="{D5CDD505-2E9C-101B-9397-08002B2CF9AE}" pid="8" name="MSIP_Label_c1bd297d-c19e-48a7-882e-4507daab7346_ContentBits">
    <vt:lpwstr>0</vt:lpwstr>
  </property>
</Properties>
</file>