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090094" w:rsidRDefault="00377498" w:rsidP="006E50B3">
            <w:pPr>
              <w:rPr>
                <w:rFonts w:ascii="Arial" w:hAnsi="Arial" w:cs="Arial"/>
                <w:b/>
                <w:color w:val="003671"/>
                <w:sz w:val="32"/>
              </w:rPr>
            </w:pPr>
            <w:r w:rsidRPr="00090094">
              <w:rPr>
                <w:rFonts w:ascii="Arial" w:hAnsi="Arial" w:cs="Arial"/>
                <w:b/>
                <w:color w:val="003671"/>
                <w:sz w:val="32"/>
              </w:rPr>
              <w:t xml:space="preserve">Leadership &amp; </w:t>
            </w:r>
            <w:r w:rsidR="00753DA8" w:rsidRPr="00090094">
              <w:rPr>
                <w:rFonts w:ascii="Arial" w:hAnsi="Arial" w:cs="Arial"/>
                <w:b/>
                <w:color w:val="003671"/>
                <w:sz w:val="32"/>
              </w:rPr>
              <w:t>Organisational Development Manager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090094" w:rsidRDefault="00DC3CE8" w:rsidP="00DC3CE8">
            <w:pPr>
              <w:rPr>
                <w:rFonts w:ascii="Arial" w:hAnsi="Arial" w:cs="Arial"/>
                <w:b/>
                <w:color w:val="003671"/>
                <w:sz w:val="24"/>
                <w:szCs w:val="24"/>
              </w:rPr>
            </w:pPr>
            <w:r w:rsidRPr="00090094">
              <w:rPr>
                <w:rFonts w:ascii="Arial" w:hAnsi="Arial" w:cs="Arial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090094" w:rsidRDefault="00534ED3" w:rsidP="001065B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I Grade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090094" w:rsidRDefault="00DC3CE8" w:rsidP="00DC3CE8">
            <w:pPr>
              <w:rPr>
                <w:rFonts w:ascii="Arial" w:hAnsi="Arial" w:cs="Arial"/>
                <w:b/>
                <w:color w:val="003671"/>
                <w:sz w:val="24"/>
                <w:szCs w:val="24"/>
              </w:rPr>
            </w:pPr>
            <w:r w:rsidRPr="00090094">
              <w:rPr>
                <w:rFonts w:ascii="Arial" w:hAnsi="Arial" w:cs="Arial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090094" w:rsidRDefault="006633D7" w:rsidP="00DC3CE8">
            <w:pPr>
              <w:rPr>
                <w:rFonts w:ascii="Arial" w:hAnsi="Arial" w:cs="Arial"/>
                <w:color w:val="1F3864" w:themeColor="accent5" w:themeShade="80"/>
              </w:rPr>
            </w:pPr>
            <w:r w:rsidRPr="00090094">
              <w:rPr>
                <w:rFonts w:ascii="Arial" w:hAnsi="Arial" w:cs="Arial"/>
                <w:color w:val="1F3864" w:themeColor="accent5" w:themeShade="80"/>
              </w:rPr>
              <w:t>Enabling Services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090094" w:rsidRDefault="00DC3CE8" w:rsidP="00DC3CE8">
            <w:pPr>
              <w:rPr>
                <w:rFonts w:ascii="Arial" w:hAnsi="Arial" w:cs="Arial"/>
                <w:b/>
                <w:color w:val="003671"/>
                <w:sz w:val="24"/>
                <w:szCs w:val="24"/>
              </w:rPr>
            </w:pPr>
            <w:r w:rsidRPr="00090094">
              <w:rPr>
                <w:rFonts w:ascii="Arial" w:hAnsi="Arial" w:cs="Arial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090094" w:rsidRDefault="00753DA8" w:rsidP="00753DA8">
            <w:pPr>
              <w:rPr>
                <w:rFonts w:ascii="Arial" w:hAnsi="Arial" w:cs="Arial"/>
                <w:color w:val="1F3864" w:themeColor="accent5" w:themeShade="80"/>
              </w:rPr>
            </w:pPr>
            <w:r w:rsidRPr="00090094">
              <w:rPr>
                <w:rFonts w:ascii="Arial" w:hAnsi="Arial" w:cs="Arial"/>
                <w:color w:val="1F3864" w:themeColor="accent5" w:themeShade="80"/>
              </w:rPr>
              <w:t>Head of Learning and Organisation</w:t>
            </w:r>
            <w:r w:rsidR="00377498" w:rsidRPr="00090094">
              <w:rPr>
                <w:rFonts w:ascii="Arial" w:hAnsi="Arial" w:cs="Arial"/>
                <w:color w:val="1F3864" w:themeColor="accent5" w:themeShade="80"/>
              </w:rPr>
              <w:t>al</w:t>
            </w:r>
            <w:r w:rsidRPr="00090094">
              <w:rPr>
                <w:rFonts w:ascii="Arial" w:hAnsi="Arial" w:cs="Arial"/>
                <w:color w:val="1F3864" w:themeColor="accent5" w:themeShade="80"/>
              </w:rPr>
              <w:t xml:space="preserve"> Development</w:t>
            </w:r>
            <w:r w:rsidR="006E50B3" w:rsidRPr="00090094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090094" w:rsidRDefault="00C36B17" w:rsidP="00DC3CE8">
            <w:pPr>
              <w:rPr>
                <w:rFonts w:ascii="Arial" w:hAnsi="Arial" w:cs="Arial"/>
                <w:b/>
                <w:color w:val="003671"/>
                <w:sz w:val="24"/>
                <w:szCs w:val="24"/>
              </w:rPr>
            </w:pPr>
            <w:r w:rsidRPr="00090094">
              <w:rPr>
                <w:rFonts w:ascii="Arial" w:hAnsi="Arial" w:cs="Arial"/>
                <w:b/>
                <w:color w:val="003671"/>
                <w:sz w:val="24"/>
                <w:szCs w:val="24"/>
              </w:rPr>
              <w:t>Direct Reports</w:t>
            </w:r>
            <w:r w:rsidR="00EC0EDE" w:rsidRPr="00090094">
              <w:rPr>
                <w:rFonts w:ascii="Arial" w:hAnsi="Arial" w:cs="Arial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090094" w:rsidRDefault="00853182" w:rsidP="00DC3CE8">
            <w:pPr>
              <w:rPr>
                <w:rFonts w:ascii="Arial" w:hAnsi="Arial" w:cs="Arial"/>
                <w:color w:val="1F3864" w:themeColor="accent5" w:themeShade="80"/>
              </w:rPr>
            </w:pPr>
            <w:r w:rsidRPr="00090094">
              <w:rPr>
                <w:rFonts w:ascii="Arial" w:hAnsi="Arial" w:cs="Arial"/>
                <w:color w:val="1F3864" w:themeColor="accent5" w:themeShade="80"/>
              </w:rPr>
              <w:t>3 x OD Trainers, 1 x Apprenticeship Manager, 2 x OD Partners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090094" w:rsidTr="002D59FD">
        <w:trPr>
          <w:trHeight w:val="1541"/>
        </w:trPr>
        <w:tc>
          <w:tcPr>
            <w:tcW w:w="9016" w:type="dxa"/>
          </w:tcPr>
          <w:p w:rsidR="00090094" w:rsidRPr="00090094" w:rsidRDefault="00377498" w:rsidP="00E91F5D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The Leadership and Organisational Development Manager </w:t>
            </w:r>
            <w:r w:rsidR="00090094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should represent</w:t>
            </w:r>
            <w:r w:rsidR="00986338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as</w:t>
            </w:r>
            <w:r w:rsidR="00090094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an internal subject matter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expert</w:t>
            </w:r>
            <w:r w:rsidR="00090094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across a number of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specialist</w:t>
            </w:r>
            <w:r w:rsidR="00090094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areas:</w:t>
            </w:r>
          </w:p>
          <w:p w:rsid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Behavioural </w:t>
            </w: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development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Cultural </w:t>
            </w: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c</w:t>
            </w: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hange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Engagement</w:t>
            </w:r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and Wellbeing (in </w:t>
            </w:r>
            <w:proofErr w:type="spellStart"/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cojunction</w:t>
            </w:r>
            <w:proofErr w:type="spellEnd"/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with OH)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Leadership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Performance Management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Induction and on-boarding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Coaching &amp; Mentoring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Talent Enablement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Organisational Change </w:t>
            </w:r>
          </w:p>
          <w:p w:rsidR="00090094" w:rsidRPr="00090094" w:rsidRDefault="00090094" w:rsidP="0009009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Apprenticeships</w:t>
            </w:r>
          </w:p>
          <w:p w:rsidR="006A50F1" w:rsidRDefault="00D715CE" w:rsidP="00E91F5D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Building on existing knowledge, t</w:t>
            </w:r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his role is responsible for development of external relationships with other Forces and College of Policing so as to establish best practice and forecast opportunities for development growth and improvement.</w:t>
            </w:r>
          </w:p>
          <w:p w:rsidR="00D715CE" w:rsidRDefault="006A50F1" w:rsidP="00E91F5D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Work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in collaboration with</w:t>
            </w: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stakeholders, up to and including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Force senior teams</w:t>
            </w: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to develop short, mid and </w:t>
            </w:r>
            <w:proofErr w:type="gramStart"/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plans for Force development and cultural change in accordance with the revised Policing Plan.</w:t>
            </w: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</w:t>
            </w:r>
          </w:p>
          <w:p w:rsidR="006A50F1" w:rsidRDefault="00E91F5D" w:rsidP="00E91F5D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The post holder will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be expected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to </w:t>
            </w:r>
            <w:r w:rsidR="00853182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forecast and define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options and</w:t>
            </w:r>
            <w:r w:rsidR="00853182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opportunities to </w:t>
            </w:r>
            <w:r w:rsidR="00090094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enable the Force t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o achieve industry leading 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management and leadership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standards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across the Force.  </w:t>
            </w:r>
            <w:r w:rsidR="00D715CE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They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will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be responsible for the </w:t>
            </w:r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creation, 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manage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ment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and implement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ation of 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programmes which bring about cultur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al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and behaviour</w:t>
            </w:r>
            <w:r w:rsidR="005D73D7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al</w:t>
            </w:r>
            <w:r w:rsidR="00D245EB" w:rsidRPr="00090094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 change</w:t>
            </w:r>
            <w:r w:rsidR="006A50F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.</w:t>
            </w:r>
          </w:p>
          <w:p w:rsidR="007135B3" w:rsidRPr="00090094" w:rsidRDefault="00D715CE" w:rsidP="00090094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Establish and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maintain 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o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ngoing coaching and development of the team in organisational development strategy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/ advanced facilitation and consulting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and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OD process responsibilities</w:t>
            </w:r>
          </w:p>
        </w:tc>
      </w:tr>
    </w:tbl>
    <w:p w:rsidR="00D245EB" w:rsidRPr="00090094" w:rsidRDefault="00D245EB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color w:val="002060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sz w:val="20"/>
          <w:szCs w:val="20"/>
        </w:rPr>
      </w:pPr>
    </w:p>
    <w:p w:rsidR="007135B3" w:rsidRPr="00090094" w:rsidRDefault="007135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090094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09009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</w:rPr>
              <w:t xml:space="preserve">Key Tasks and </w:t>
            </w:r>
            <w:r w:rsidR="000952B6"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</w:rPr>
              <w:t>Responsibilities:</w:t>
            </w:r>
          </w:p>
        </w:tc>
      </w:tr>
      <w:tr w:rsidR="00E038F4" w:rsidRPr="00090094" w:rsidTr="00DC3CE8">
        <w:trPr>
          <w:trHeight w:val="4854"/>
        </w:trPr>
        <w:tc>
          <w:tcPr>
            <w:tcW w:w="9016" w:type="dxa"/>
          </w:tcPr>
          <w:p w:rsidR="00AA5F8C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Owns and oversees the development 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</w:rPr>
              <w:t>of the Organisational Development and</w:t>
            </w:r>
            <w:r w:rsidR="004B13D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Leadership</w:t>
            </w:r>
            <w:r w:rsidR="006A50F1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portfolio,</w:t>
            </w:r>
            <w:r w:rsidR="004B13D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>proj</w:t>
            </w:r>
            <w:r w:rsidR="004B13D4" w:rsidRPr="006A50F1">
              <w:rPr>
                <w:rFonts w:ascii="Arial" w:hAnsi="Arial" w:cs="Arial"/>
                <w:color w:val="002060"/>
                <w:sz w:val="20"/>
                <w:szCs w:val="20"/>
              </w:rPr>
              <w:t>ects and initiatives to improve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performance and engagement across the Force</w:t>
            </w:r>
          </w:p>
          <w:p w:rsidR="00AA5F8C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Designs and seeks to embed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an adaptive culture of continuous improvem</w:t>
            </w:r>
            <w:r w:rsidR="00D44C89" w:rsidRPr="006A50F1">
              <w:rPr>
                <w:rFonts w:ascii="Arial" w:hAnsi="Arial" w:cs="Arial"/>
                <w:color w:val="002060"/>
                <w:sz w:val="20"/>
                <w:szCs w:val="20"/>
              </w:rPr>
              <w:t>ent</w:t>
            </w:r>
          </w:p>
          <w:p w:rsidR="00AA5F8C" w:rsidRPr="006A50F1" w:rsidRDefault="00AA5F8C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Design, develop and</w:t>
            </w:r>
            <w:r w:rsidR="008266A0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deliver holistic and targeted leadership and m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anagement d</w:t>
            </w:r>
            <w:r w:rsidR="00E46EF6" w:rsidRPr="006A50F1">
              <w:rPr>
                <w:rFonts w:ascii="Arial" w:hAnsi="Arial" w:cs="Arial"/>
                <w:color w:val="002060"/>
                <w:sz w:val="20"/>
                <w:szCs w:val="20"/>
              </w:rPr>
              <w:t>evelopment training across the f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orce</w:t>
            </w:r>
            <w:r w:rsidR="00D715CE">
              <w:rPr>
                <w:rFonts w:ascii="Arial" w:hAnsi="Arial" w:cs="Arial"/>
                <w:color w:val="002060"/>
                <w:sz w:val="20"/>
                <w:szCs w:val="20"/>
              </w:rPr>
              <w:t xml:space="preserve"> in support of the Policing Plan</w:t>
            </w:r>
          </w:p>
          <w:p w:rsidR="00AA5F8C" w:rsidRPr="006A50F1" w:rsidRDefault="00DA7AA1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Responsibility for Staff Survey platform and</w:t>
            </w:r>
            <w:r w:rsidR="00D715CE">
              <w:rPr>
                <w:rFonts w:ascii="Arial" w:hAnsi="Arial" w:cs="Arial"/>
                <w:color w:val="002060"/>
                <w:sz w:val="20"/>
                <w:szCs w:val="20"/>
              </w:rPr>
              <w:t xml:space="preserve"> maintaining confidentiality through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data generated</w:t>
            </w:r>
          </w:p>
          <w:p w:rsidR="00AA5F8C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Lead on th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e assessment of </w:t>
            </w:r>
            <w:r w:rsidR="001B2882" w:rsidRPr="006A50F1">
              <w:rPr>
                <w:rFonts w:ascii="Arial" w:hAnsi="Arial" w:cs="Arial"/>
                <w:color w:val="002060"/>
                <w:sz w:val="20"/>
                <w:szCs w:val="20"/>
              </w:rPr>
              <w:t>organisational</w:t>
            </w:r>
            <w:r w:rsidR="00477EFF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>needs and the design, implementation and evaluation of programmes tha</w:t>
            </w:r>
            <w:r w:rsidR="00D52640" w:rsidRPr="006A50F1">
              <w:rPr>
                <w:rFonts w:ascii="Arial" w:hAnsi="Arial" w:cs="Arial"/>
                <w:color w:val="002060"/>
                <w:sz w:val="20"/>
                <w:szCs w:val="20"/>
              </w:rPr>
              <w:t>t facilitate CPD across the workforce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AA5F8C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emerging </w:t>
            </w:r>
            <w:r w:rsidR="00D44C89" w:rsidRPr="006A50F1">
              <w:rPr>
                <w:rFonts w:ascii="Arial" w:hAnsi="Arial" w:cs="Arial"/>
                <w:color w:val="002060"/>
                <w:sz w:val="20"/>
                <w:szCs w:val="20"/>
              </w:rPr>
              <w:t>talent and leaders</w:t>
            </w:r>
          </w:p>
          <w:p w:rsidR="008D64E4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Develop and own the Professional Development Review process; supporting managers and individuals to take ownership and </w:t>
            </w:r>
            <w:r w:rsidR="00D44C89" w:rsidRPr="006A50F1">
              <w:rPr>
                <w:rFonts w:ascii="Arial" w:hAnsi="Arial" w:cs="Arial"/>
                <w:color w:val="00206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monstrate</w:t>
            </w:r>
            <w:r w:rsidR="00D44C89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outcomes focussed accountability and responsibility</w:t>
            </w:r>
          </w:p>
          <w:p w:rsidR="008D64E4" w:rsidRPr="006A50F1" w:rsidRDefault="001E59A6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Influence organisational and strategic 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decisions in line with desired </w:t>
            </w:r>
            <w:r w:rsidR="00D715CE">
              <w:rPr>
                <w:rFonts w:ascii="Arial" w:hAnsi="Arial" w:cs="Arial"/>
                <w:color w:val="002060"/>
                <w:sz w:val="20"/>
                <w:szCs w:val="20"/>
              </w:rPr>
              <w:t xml:space="preserve">outcomes and 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>behaviours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to </w:t>
            </w:r>
            <w:r w:rsidR="00D81743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promote empowerment, accountability 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and </w:t>
            </w:r>
            <w:r w:rsidR="00D715CE">
              <w:rPr>
                <w:rFonts w:ascii="Arial" w:hAnsi="Arial" w:cs="Arial"/>
                <w:color w:val="002060"/>
                <w:sz w:val="20"/>
                <w:szCs w:val="20"/>
              </w:rPr>
              <w:t>personal ownership</w:t>
            </w:r>
          </w:p>
          <w:p w:rsidR="008D64E4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Advise on distribution of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budget associated with external development programmes and </w:t>
            </w:r>
            <w:r w:rsidR="001E59A6" w:rsidRPr="006A50F1">
              <w:rPr>
                <w:rFonts w:ascii="Arial" w:hAnsi="Arial" w:cs="Arial"/>
                <w:color w:val="002060"/>
                <w:sz w:val="20"/>
                <w:szCs w:val="20"/>
              </w:rPr>
              <w:t>engage in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tender processes where relevant</w:t>
            </w:r>
          </w:p>
          <w:p w:rsidR="008D64E4" w:rsidRPr="006A50F1" w:rsidRDefault="001E59A6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Partner with key 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>stakeholders to</w:t>
            </w:r>
            <w:r w:rsidR="00D715CE">
              <w:rPr>
                <w:rFonts w:ascii="Arial" w:hAnsi="Arial" w:cs="Arial"/>
                <w:color w:val="002060"/>
                <w:sz w:val="20"/>
                <w:szCs w:val="20"/>
              </w:rPr>
              <w:t xml:space="preserve"> identify opportunities to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implement programmes that deliver business change and improvement</w:t>
            </w:r>
          </w:p>
          <w:p w:rsidR="008D64E4" w:rsidRPr="006A50F1" w:rsidRDefault="00D715CE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Establish and drive a cultural that mo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>tivate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an</w:t>
            </w:r>
            <w:r w:rsidR="001E59A6" w:rsidRPr="006A50F1">
              <w:rPr>
                <w:rFonts w:ascii="Arial" w:hAnsi="Arial" w:cs="Arial"/>
                <w:color w:val="002060"/>
                <w:sz w:val="20"/>
                <w:szCs w:val="20"/>
              </w:rPr>
              <w:t>d inspire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1E59A6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managers and staff to engage in development and leadership opportunities that support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individual and organisation</w:t>
            </w:r>
            <w:r w:rsidR="001E59A6" w:rsidRPr="006A50F1">
              <w:rPr>
                <w:rFonts w:ascii="Arial" w:hAnsi="Arial" w:cs="Arial"/>
                <w:color w:val="002060"/>
                <w:sz w:val="20"/>
                <w:szCs w:val="20"/>
              </w:rPr>
              <w:t>al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change</w:t>
            </w:r>
          </w:p>
          <w:p w:rsidR="008D64E4" w:rsidRPr="006A50F1" w:rsidRDefault="008D64E4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Advise management and leadership on best practice and incorpora</w:t>
            </w:r>
            <w:r w:rsidR="00477EFF" w:rsidRPr="006A50F1">
              <w:rPr>
                <w:rFonts w:ascii="Arial" w:hAnsi="Arial" w:cs="Arial"/>
                <w:color w:val="002060"/>
                <w:sz w:val="20"/>
                <w:szCs w:val="20"/>
              </w:rPr>
              <w:t>te lessons learnt into all development/delivery plans and functionality across the force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8D64E4" w:rsidRPr="006A50F1" w:rsidRDefault="008D64E4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Repre</w:t>
            </w:r>
            <w:r w:rsidR="00477EFF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sent Staffordshire Police 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at networking events to enhance the reputation o</w:t>
            </w:r>
            <w:r w:rsidR="00477EFF" w:rsidRPr="006A50F1">
              <w:rPr>
                <w:rFonts w:ascii="Arial" w:hAnsi="Arial" w:cs="Arial"/>
                <w:color w:val="002060"/>
                <w:sz w:val="20"/>
                <w:szCs w:val="20"/>
              </w:rPr>
              <w:t>f the organisation and develop organisational d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evelopment initiatives</w:t>
            </w:r>
            <w:r w:rsidR="006E1EDD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collaboration and partnership working</w:t>
            </w:r>
          </w:p>
          <w:p w:rsidR="008D64E4" w:rsidRPr="006A50F1" w:rsidRDefault="00DA7AA1" w:rsidP="00D715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Generate robust</w:t>
            </w:r>
            <w:r w:rsidR="009701E5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accurate and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relevant data </w:t>
            </w:r>
            <w:r w:rsidR="006E1EDD">
              <w:rPr>
                <w:rFonts w:ascii="Arial" w:hAnsi="Arial" w:cs="Arial"/>
                <w:color w:val="002060"/>
                <w:sz w:val="20"/>
                <w:szCs w:val="20"/>
              </w:rPr>
              <w:t>from internal and external sources to inform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effective</w:t>
            </w:r>
            <w:r w:rsidR="008D64E4" w:rsidRPr="006A50F1">
              <w:rPr>
                <w:rFonts w:ascii="Arial" w:hAnsi="Arial" w:cs="Arial"/>
                <w:color w:val="002060"/>
                <w:sz w:val="20"/>
                <w:szCs w:val="20"/>
              </w:rPr>
              <w:t xml:space="preserve"> business decisions</w:t>
            </w:r>
          </w:p>
          <w:p w:rsidR="008D64E4" w:rsidRPr="006E1EDD" w:rsidRDefault="008D64E4" w:rsidP="006E1E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A50F1">
              <w:rPr>
                <w:rFonts w:ascii="Arial" w:hAnsi="Arial" w:cs="Arial"/>
                <w:color w:val="002060"/>
                <w:sz w:val="20"/>
                <w:szCs w:val="20"/>
              </w:rPr>
              <w:t>Prepare and present reports to groups, comm</w:t>
            </w:r>
            <w:r w:rsidR="00477EFF" w:rsidRPr="006A50F1">
              <w:rPr>
                <w:rFonts w:ascii="Arial" w:hAnsi="Arial" w:cs="Arial"/>
                <w:color w:val="002060"/>
                <w:sz w:val="20"/>
                <w:szCs w:val="20"/>
              </w:rPr>
              <w:t>ittees and boards as required</w:t>
            </w:r>
            <w:r w:rsidR="00DA7AA1">
              <w:rPr>
                <w:rFonts w:ascii="Arial" w:hAnsi="Arial" w:cs="Arial"/>
                <w:color w:val="002060"/>
                <w:sz w:val="20"/>
                <w:szCs w:val="20"/>
              </w:rPr>
              <w:t xml:space="preserve"> up to and including the Chief Officer Team and external equivalents</w:t>
            </w:r>
          </w:p>
          <w:p w:rsidR="008D64E4" w:rsidRPr="00090094" w:rsidRDefault="008D64E4" w:rsidP="00D715C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B3640" w:rsidRPr="00090094" w:rsidRDefault="00BB3640" w:rsidP="008D64E4">
            <w:pPr>
              <w:pStyle w:val="ListParagraph"/>
              <w:jc w:val="both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C3CE8" w:rsidRPr="00090094" w:rsidTr="00DC3CE8">
        <w:trPr>
          <w:trHeight w:val="3145"/>
        </w:trPr>
        <w:tc>
          <w:tcPr>
            <w:tcW w:w="9016" w:type="dxa"/>
          </w:tcPr>
          <w:p w:rsidR="00DC3CE8" w:rsidRPr="00090094" w:rsidRDefault="00DC3CE8" w:rsidP="00DC3CE8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And to be accountable for: (</w:t>
            </w:r>
            <w:proofErr w:type="spellStart"/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ie</w:t>
            </w:r>
            <w:proofErr w:type="spellEnd"/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 xml:space="preserve"> responsibilities held by others but measured and owned by this role)</w:t>
            </w:r>
          </w:p>
          <w:p w:rsidR="00DC3CE8" w:rsidRPr="00090094" w:rsidRDefault="00DC3CE8" w:rsidP="009A6E91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0"/>
                <w:szCs w:val="20"/>
              </w:rPr>
            </w:pPr>
          </w:p>
          <w:p w:rsidR="00B14BD9" w:rsidRDefault="00B14BD9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Programme design and development</w:t>
            </w:r>
          </w:p>
          <w:p w:rsidR="00B14BD9" w:rsidRDefault="00B14BD9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External benchmarking</w:t>
            </w:r>
          </w:p>
          <w:p w:rsidR="00B14BD9" w:rsidRDefault="00B14BD9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Internally access platforms, i.e. Hive, Pushfar</w:t>
            </w:r>
          </w:p>
          <w:p w:rsidR="00BB3640" w:rsidRPr="00DA7AA1" w:rsidRDefault="00BB3640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Project </w:t>
            </w:r>
            <w:r w:rsidR="00B14BD9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d</w:t>
            </w: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eadlines</w:t>
            </w:r>
          </w:p>
          <w:p w:rsidR="00BB3640" w:rsidRPr="00DA7AA1" w:rsidRDefault="00BB3640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</w:pP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Initiative </w:t>
            </w:r>
            <w:r w:rsidR="00B14BD9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o</w:t>
            </w: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utcomes</w:t>
            </w:r>
          </w:p>
          <w:p w:rsidR="00BB3640" w:rsidRPr="00B14BD9" w:rsidRDefault="00BB3640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 xml:space="preserve">Customer </w:t>
            </w:r>
            <w:r w:rsidR="00B14BD9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s</w:t>
            </w:r>
            <w:r w:rsidRPr="00DA7AA1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ervice</w:t>
            </w:r>
          </w:p>
          <w:p w:rsidR="00B14BD9" w:rsidRPr="00090094" w:rsidRDefault="00B14BD9" w:rsidP="00DA7AA1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B14BD9">
              <w:rPr>
                <w:rFonts w:ascii="Arial" w:eastAsia="Times New Roman" w:hAnsi="Arial" w:cs="Arial"/>
                <w:color w:val="002060"/>
                <w:spacing w:val="-2"/>
                <w:kern w:val="24"/>
                <w:sz w:val="20"/>
                <w:szCs w:val="20"/>
              </w:rPr>
              <w:t>Cultural and behavioural change strategies</w:t>
            </w:r>
          </w:p>
        </w:tc>
      </w:tr>
    </w:tbl>
    <w:p w:rsidR="00DC3CE8" w:rsidRPr="00090094" w:rsidRDefault="00DC3C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090094" w:rsidTr="00C41F9C">
        <w:tc>
          <w:tcPr>
            <w:tcW w:w="9016" w:type="dxa"/>
            <w:gridSpan w:val="4"/>
            <w:shd w:val="clear" w:color="auto" w:fill="003671"/>
          </w:tcPr>
          <w:p w:rsidR="00B30A61" w:rsidRPr="00090094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Behaviours </w:t>
            </w:r>
            <w:r w:rsidRPr="0009009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30A61" w:rsidRPr="00090094" w:rsidTr="00E37929">
        <w:tc>
          <w:tcPr>
            <w:tcW w:w="9016" w:type="dxa"/>
            <w:gridSpan w:val="4"/>
          </w:tcPr>
          <w:p w:rsidR="00B30A61" w:rsidRPr="00090094" w:rsidRDefault="00B30A61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 xml:space="preserve">The </w:t>
            </w:r>
            <w:r w:rsidR="003076B4"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 xml:space="preserve">Behavioural </w:t>
            </w: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Competency Framework (</w:t>
            </w:r>
            <w:r w:rsidR="003076B4"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BC</w:t>
            </w: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F) has six competencies that are clustered into three groups</w:t>
            </w:r>
            <w:r w:rsidR="003076B4"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 xml:space="preserve">. Under each competency are six </w:t>
            </w: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levels that show what behaviours will look like in practice.</w:t>
            </w:r>
          </w:p>
          <w:p w:rsidR="00B30A61" w:rsidRPr="00090094" w:rsidRDefault="00B30A61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  <w:p w:rsidR="00B30A61" w:rsidRPr="00090094" w:rsidRDefault="003076B4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This role should be operating at the</w:t>
            </w:r>
            <w:r w:rsidR="00B30A61"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 xml:space="preserve"> following levels:</w:t>
            </w:r>
          </w:p>
        </w:tc>
      </w:tr>
      <w:tr w:rsidR="007271A5" w:rsidRPr="00090094" w:rsidTr="00D514AD">
        <w:tc>
          <w:tcPr>
            <w:tcW w:w="9016" w:type="dxa"/>
            <w:gridSpan w:val="4"/>
          </w:tcPr>
          <w:p w:rsidR="007271A5" w:rsidRPr="00090094" w:rsidRDefault="007271A5" w:rsidP="00E37929">
            <w:pPr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  <w:t>Resolute, compassionate and committed</w:t>
            </w:r>
          </w:p>
          <w:p w:rsidR="007271A5" w:rsidRPr="00090094" w:rsidRDefault="007271A5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Valuing Diversity</w:t>
            </w:r>
          </w:p>
        </w:tc>
        <w:tc>
          <w:tcPr>
            <w:tcW w:w="1366" w:type="dxa"/>
          </w:tcPr>
          <w:p w:rsidR="00CB09CF" w:rsidRPr="00090094" w:rsidRDefault="00C23BE9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4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4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AA3B24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Customer Service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4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7271A5" w:rsidRPr="00090094" w:rsidTr="00DE0DFB">
        <w:tc>
          <w:tcPr>
            <w:tcW w:w="9016" w:type="dxa"/>
            <w:gridSpan w:val="4"/>
          </w:tcPr>
          <w:p w:rsidR="007271A5" w:rsidRPr="00090094" w:rsidRDefault="007271A5" w:rsidP="00E37929">
            <w:pPr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  <w:t>Inclusive, enabling and visionary leadership</w:t>
            </w:r>
          </w:p>
          <w:p w:rsidR="007271A5" w:rsidRPr="00090094" w:rsidRDefault="007271A5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Partner Working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(self) Leadership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4</w:t>
            </w:r>
          </w:p>
        </w:tc>
      </w:tr>
      <w:tr w:rsidR="007271A5" w:rsidRPr="00090094" w:rsidTr="00E30B57">
        <w:tc>
          <w:tcPr>
            <w:tcW w:w="9016" w:type="dxa"/>
            <w:gridSpan w:val="4"/>
          </w:tcPr>
          <w:p w:rsidR="007271A5" w:rsidRPr="00090094" w:rsidRDefault="007271A5" w:rsidP="00E37929">
            <w:pPr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b/>
                <w:color w:val="003671"/>
                <w:sz w:val="20"/>
                <w:szCs w:val="20"/>
                <w:lang w:eastAsia="en-GB"/>
              </w:rPr>
              <w:t>Intelligent, creative and informed policing</w:t>
            </w:r>
          </w:p>
          <w:p w:rsidR="007271A5" w:rsidRPr="00090094" w:rsidRDefault="007271A5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Problem Solving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75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Situational Judgement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  <w:r w:rsidRPr="00090094"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Continuous Improvement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  <w:tr w:rsidR="00CB09CF" w:rsidRPr="00090094" w:rsidTr="00CB09CF">
        <w:trPr>
          <w:trHeight w:val="263"/>
        </w:trPr>
        <w:tc>
          <w:tcPr>
            <w:tcW w:w="2405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090094" w:rsidRDefault="00CB09CF" w:rsidP="00E37929">
            <w:pPr>
              <w:rPr>
                <w:rFonts w:ascii="Arial" w:eastAsiaTheme="minorEastAsia" w:hAnsi="Arial" w:cs="Arial"/>
                <w:color w:val="003671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</w:tcPr>
          <w:p w:rsidR="00CB09CF" w:rsidRPr="00090094" w:rsidRDefault="00CB09CF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 w:rsidRPr="00090094">
              <w:rPr>
                <w:rFonts w:ascii="Arial" w:hAnsi="Arial" w:cs="Arial"/>
                <w:color w:val="003671"/>
                <w:sz w:val="20"/>
                <w:szCs w:val="20"/>
              </w:rPr>
              <w:t>Futurology</w:t>
            </w:r>
          </w:p>
        </w:tc>
        <w:tc>
          <w:tcPr>
            <w:tcW w:w="1366" w:type="dxa"/>
          </w:tcPr>
          <w:p w:rsidR="00CB09CF" w:rsidRPr="00090094" w:rsidRDefault="00DA7AA1" w:rsidP="0089177D">
            <w:pPr>
              <w:rPr>
                <w:rFonts w:ascii="Arial" w:hAnsi="Arial" w:cs="Arial"/>
                <w:color w:val="003671"/>
                <w:sz w:val="20"/>
                <w:szCs w:val="20"/>
              </w:rPr>
            </w:pPr>
            <w:r>
              <w:rPr>
                <w:rFonts w:ascii="Arial" w:hAnsi="Arial" w:cs="Arial"/>
                <w:color w:val="003671"/>
                <w:sz w:val="20"/>
                <w:szCs w:val="20"/>
              </w:rPr>
              <w:t>5</w:t>
            </w:r>
          </w:p>
        </w:tc>
      </w:tr>
    </w:tbl>
    <w:p w:rsidR="00B30A61" w:rsidRPr="00090094" w:rsidRDefault="00B30A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090094" w:rsidTr="00C41F9C">
        <w:tc>
          <w:tcPr>
            <w:tcW w:w="9016" w:type="dxa"/>
            <w:gridSpan w:val="2"/>
            <w:shd w:val="clear" w:color="auto" w:fill="003671"/>
          </w:tcPr>
          <w:p w:rsidR="00AF108F" w:rsidRPr="00090094" w:rsidRDefault="00822EF3" w:rsidP="0060652C">
            <w:pPr>
              <w:tabs>
                <w:tab w:val="left" w:pos="3572"/>
              </w:tabs>
              <w:rPr>
                <w:rFonts w:ascii="Arial" w:hAnsi="Arial" w:cs="Arial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Education, </w:t>
            </w:r>
            <w:r w:rsidR="00AF108F"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Qualifications </w:t>
            </w: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>and Experience</w:t>
            </w:r>
          </w:p>
        </w:tc>
      </w:tr>
      <w:tr w:rsidR="00CB09CF" w:rsidRPr="00090094" w:rsidTr="006C0D36">
        <w:tc>
          <w:tcPr>
            <w:tcW w:w="4508" w:type="dxa"/>
          </w:tcPr>
          <w:p w:rsidR="00CB09CF" w:rsidRPr="00CC7FD4" w:rsidRDefault="00CB09CF" w:rsidP="00AA3B24">
            <w:pPr>
              <w:ind w:right="12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C7FD4">
              <w:rPr>
                <w:rFonts w:ascii="Arial" w:hAnsi="Arial" w:cs="Arial"/>
                <w:b/>
                <w:color w:val="002060"/>
                <w:sz w:val="20"/>
                <w:szCs w:val="20"/>
              </w:rPr>
              <w:t>Essential:</w:t>
            </w:r>
          </w:p>
        </w:tc>
        <w:tc>
          <w:tcPr>
            <w:tcW w:w="4508" w:type="dxa"/>
          </w:tcPr>
          <w:p w:rsidR="00CB09CF" w:rsidRPr="00CC7FD4" w:rsidRDefault="00CB09CF" w:rsidP="00AA3B24">
            <w:pPr>
              <w:ind w:right="12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C7FD4">
              <w:rPr>
                <w:rFonts w:ascii="Arial" w:hAnsi="Arial" w:cs="Arial"/>
                <w:b/>
                <w:color w:val="002060"/>
                <w:sz w:val="20"/>
                <w:szCs w:val="20"/>
              </w:rPr>
              <w:t>Desirable:</w:t>
            </w:r>
          </w:p>
        </w:tc>
      </w:tr>
      <w:tr w:rsidR="00CB09CF" w:rsidRPr="00090094" w:rsidTr="00CB09CF">
        <w:trPr>
          <w:trHeight w:val="1227"/>
        </w:trPr>
        <w:tc>
          <w:tcPr>
            <w:tcW w:w="4508" w:type="dxa"/>
          </w:tcPr>
          <w:p w:rsidR="005351AD" w:rsidRPr="00CC7FD4" w:rsidRDefault="009D5DF6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Level 5 Diploma </w:t>
            </w:r>
            <w:r w:rsidR="005351AD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Organisational Development </w:t>
            </w:r>
            <w:r w:rsidR="009F0A21" w:rsidRPr="00CC7FD4">
              <w:rPr>
                <w:rFonts w:ascii="Arial" w:hAnsi="Arial" w:cs="Arial"/>
                <w:color w:val="002060"/>
                <w:sz w:val="20"/>
                <w:szCs w:val="20"/>
              </w:rPr>
              <w:t>q</w:t>
            </w:r>
            <w:r w:rsidR="005351AD" w:rsidRPr="00CC7FD4">
              <w:rPr>
                <w:rFonts w:ascii="Arial" w:hAnsi="Arial" w:cs="Arial"/>
                <w:color w:val="002060"/>
                <w:sz w:val="20"/>
                <w:szCs w:val="20"/>
              </w:rPr>
              <w:t>ualification or substantial Organisational</w:t>
            </w:r>
            <w:r w:rsidR="00491AFB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 Development experience</w:t>
            </w:r>
          </w:p>
          <w:p w:rsidR="007B16FB" w:rsidRPr="00CC7FD4" w:rsidRDefault="00491AFB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Significant </w:t>
            </w:r>
            <w:r w:rsidR="00B14BD9">
              <w:rPr>
                <w:rFonts w:ascii="Arial" w:hAnsi="Arial" w:cs="Arial"/>
                <w:color w:val="002060"/>
                <w:sz w:val="20"/>
                <w:szCs w:val="20"/>
              </w:rPr>
              <w:t xml:space="preserve">(3-5 years) </w:t>
            </w:r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>management and l</w:t>
            </w:r>
            <w:r w:rsidR="007B16FB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eadership </w:t>
            </w:r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>development delivery e</w:t>
            </w:r>
            <w:r w:rsidR="007B16FB" w:rsidRPr="00CC7FD4">
              <w:rPr>
                <w:rFonts w:ascii="Arial" w:hAnsi="Arial" w:cs="Arial"/>
                <w:color w:val="002060"/>
                <w:sz w:val="20"/>
                <w:szCs w:val="20"/>
              </w:rPr>
              <w:t>xperience</w:t>
            </w:r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 and/or relevant</w:t>
            </w:r>
            <w:r w:rsidR="00526A01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 qualification</w:t>
            </w:r>
          </w:p>
          <w:p w:rsidR="00526A01" w:rsidRPr="00CC7FD4" w:rsidRDefault="009D5DF6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Evidence </w:t>
            </w:r>
            <w:r w:rsidR="008F3D51">
              <w:rPr>
                <w:rFonts w:ascii="Arial" w:hAnsi="Arial" w:cs="Arial"/>
                <w:color w:val="002060"/>
                <w:sz w:val="20"/>
                <w:szCs w:val="20"/>
              </w:rPr>
              <w:t xml:space="preserve">of </w:t>
            </w:r>
            <w:r w:rsidR="00526A01" w:rsidRPr="00CC7FD4">
              <w:rPr>
                <w:rFonts w:ascii="Arial" w:hAnsi="Arial" w:cs="Arial"/>
                <w:color w:val="002060"/>
                <w:sz w:val="20"/>
                <w:szCs w:val="20"/>
              </w:rPr>
              <w:t>hav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ing influenced and </w:t>
            </w:r>
            <w:r w:rsidR="00526A01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implemented significant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business wide</w:t>
            </w:r>
            <w:r w:rsidR="00526A01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14BD9">
              <w:rPr>
                <w:rFonts w:ascii="Arial" w:hAnsi="Arial" w:cs="Arial"/>
                <w:color w:val="002060"/>
                <w:sz w:val="20"/>
                <w:szCs w:val="20"/>
              </w:rPr>
              <w:t>change initiatives</w:t>
            </w:r>
          </w:p>
          <w:p w:rsidR="00EC5E03" w:rsidRPr="00EC5E03" w:rsidRDefault="009C09A1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Significant experience working in a </w:t>
            </w:r>
            <w:r w:rsidR="009000C0" w:rsidRPr="00EC5E0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professional 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or </w:t>
            </w:r>
            <w:r w:rsidR="009000C0" w:rsidRPr="00EC5E0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consultancy Organi</w:t>
            </w:r>
            <w:r w:rsidR="00B14BD9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s</w:t>
            </w:r>
            <w:r w:rsidR="009000C0" w:rsidRPr="00EC5E0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ation Development</w:t>
            </w:r>
            <w: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role</w:t>
            </w:r>
          </w:p>
          <w:p w:rsidR="00BB3640" w:rsidRPr="00CC7FD4" w:rsidRDefault="008F3D51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Ability to </w:t>
            </w:r>
            <w:r w:rsidR="00F713CD" w:rsidRPr="00CC7FD4">
              <w:rPr>
                <w:rFonts w:ascii="Arial" w:hAnsi="Arial" w:cs="Arial"/>
                <w:color w:val="002060"/>
                <w:sz w:val="20"/>
                <w:szCs w:val="20"/>
              </w:rPr>
              <w:t>critically evaluate</w:t>
            </w:r>
            <w:r w:rsidR="00BB3640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713CD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and analyse </w:t>
            </w:r>
            <w:proofErr w:type="spellStart"/>
            <w:r w:rsidR="00F713CD" w:rsidRPr="00CC7FD4">
              <w:rPr>
                <w:rFonts w:ascii="Arial" w:hAnsi="Arial" w:cs="Arial"/>
                <w:color w:val="002060"/>
                <w:sz w:val="20"/>
                <w:szCs w:val="20"/>
              </w:rPr>
              <w:t>quantiti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713CD"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and qualitative data to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inform decision making</w:t>
            </w:r>
          </w:p>
          <w:p w:rsidR="00BB3640" w:rsidRPr="00CC7FD4" w:rsidRDefault="009D5DF6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Evidence of implementing performance management and development </w:t>
            </w:r>
            <w:r w:rsidR="008F3D51">
              <w:rPr>
                <w:rFonts w:ascii="Arial" w:hAnsi="Arial" w:cs="Arial"/>
                <w:color w:val="002060"/>
                <w:sz w:val="20"/>
                <w:szCs w:val="20"/>
              </w:rPr>
              <w:t>initiatives</w:t>
            </w:r>
          </w:p>
          <w:p w:rsidR="00BB3640" w:rsidRDefault="009D5DF6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Strategy development and policy ownership</w:t>
            </w:r>
          </w:p>
          <w:p w:rsidR="008F3D51" w:rsidRPr="00CC7FD4" w:rsidRDefault="00B14BD9" w:rsidP="009D5DF6">
            <w:pPr>
              <w:pStyle w:val="ListParagraph"/>
              <w:numPr>
                <w:ilvl w:val="0"/>
                <w:numId w:val="44"/>
              </w:numPr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Performed</w:t>
            </w:r>
            <w:r w:rsidR="008F3D51">
              <w:rPr>
                <w:rFonts w:ascii="Arial" w:hAnsi="Arial" w:cs="Arial"/>
                <w:color w:val="002060"/>
                <w:sz w:val="20"/>
                <w:szCs w:val="20"/>
              </w:rPr>
              <w:t xml:space="preserve"> as a strategic partner at SLT and Board Level</w:t>
            </w:r>
          </w:p>
          <w:p w:rsidR="00BB3640" w:rsidRPr="00CC7FD4" w:rsidRDefault="00BB3640" w:rsidP="00491AFB">
            <w:pPr>
              <w:pStyle w:val="ListParagraph"/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08" w:type="dxa"/>
          </w:tcPr>
          <w:p w:rsidR="009D5DF6" w:rsidRDefault="009D5DF6" w:rsidP="00CC7FD4">
            <w:pPr>
              <w:pStyle w:val="ListParagraph"/>
              <w:numPr>
                <w:ilvl w:val="0"/>
                <w:numId w:val="43"/>
              </w:numPr>
              <w:ind w:left="360" w:right="12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Level 7 Organisational Development or equivalent experience</w:t>
            </w:r>
          </w:p>
          <w:p w:rsidR="009D5DF6" w:rsidRDefault="009D5DF6" w:rsidP="009D5DF6">
            <w:pPr>
              <w:pStyle w:val="ListParagraph"/>
              <w:ind w:left="360" w:right="12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F0A21" w:rsidRPr="009D5DF6" w:rsidRDefault="009F0A21" w:rsidP="009D5DF6">
            <w:pPr>
              <w:pStyle w:val="ListParagraph"/>
              <w:numPr>
                <w:ilvl w:val="0"/>
                <w:numId w:val="43"/>
              </w:numPr>
              <w:ind w:left="360" w:right="12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D5DF6">
              <w:rPr>
                <w:rFonts w:ascii="Arial" w:hAnsi="Arial" w:cs="Arial"/>
                <w:color w:val="002060"/>
                <w:sz w:val="20"/>
                <w:szCs w:val="20"/>
              </w:rPr>
              <w:t xml:space="preserve">Graduate member of CIPD with proven commitment to continuous professional development or be working towards this </w:t>
            </w:r>
            <w:r w:rsidR="009D5DF6">
              <w:rPr>
                <w:rFonts w:ascii="Arial" w:hAnsi="Arial" w:cs="Arial"/>
                <w:color w:val="002060"/>
                <w:sz w:val="20"/>
                <w:szCs w:val="20"/>
              </w:rPr>
              <w:t>accreditation</w:t>
            </w:r>
          </w:p>
          <w:p w:rsidR="00DA2F9B" w:rsidRPr="009D5DF6" w:rsidRDefault="00DA2F9B" w:rsidP="009D5DF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A2F9B" w:rsidRPr="00CC7FD4" w:rsidRDefault="00DA2F9B" w:rsidP="00CC7FD4">
            <w:pPr>
              <w:pStyle w:val="ListParagraph"/>
              <w:numPr>
                <w:ilvl w:val="0"/>
                <w:numId w:val="43"/>
              </w:numPr>
              <w:ind w:left="360"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 xml:space="preserve">Coaching and Mentoring Qualification and / or </w:t>
            </w:r>
            <w:proofErr w:type="spellStart"/>
            <w:r w:rsidRPr="00CC7FD4">
              <w:rPr>
                <w:rFonts w:ascii="Arial" w:hAnsi="Arial" w:cs="Arial"/>
                <w:color w:val="002060"/>
                <w:sz w:val="20"/>
                <w:szCs w:val="20"/>
              </w:rPr>
              <w:t>experiance</w:t>
            </w:r>
            <w:proofErr w:type="spellEnd"/>
          </w:p>
          <w:p w:rsidR="00BB3640" w:rsidRPr="00CC7FD4" w:rsidRDefault="00BB3640" w:rsidP="00CC7FD4">
            <w:pPr>
              <w:pStyle w:val="ListParagraph"/>
              <w:ind w:left="360"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B3640" w:rsidRPr="00CC7FD4" w:rsidRDefault="00BB3640" w:rsidP="00526A01">
            <w:pPr>
              <w:pStyle w:val="ListParagraph"/>
              <w:ind w:right="124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CE1263" w:rsidRPr="00090094" w:rsidRDefault="00CE12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090094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090094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>Skills Matrix</w:t>
            </w:r>
            <w:r w:rsidR="00C36B17"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 (See Skills Matrix)</w:t>
            </w:r>
          </w:p>
        </w:tc>
      </w:tr>
      <w:tr w:rsidR="00CB09CF" w:rsidRPr="00090094" w:rsidTr="00C36B17">
        <w:trPr>
          <w:trHeight w:val="235"/>
        </w:trPr>
        <w:tc>
          <w:tcPr>
            <w:tcW w:w="4503" w:type="dxa"/>
          </w:tcPr>
          <w:p w:rsidR="00CB09CF" w:rsidRPr="00CC7FD4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C7FD4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  <w:t>Desirable</w:t>
            </w:r>
          </w:p>
        </w:tc>
      </w:tr>
      <w:tr w:rsidR="00CB09CF" w:rsidRPr="00090094" w:rsidTr="00C36B17">
        <w:trPr>
          <w:trHeight w:val="1117"/>
        </w:trPr>
        <w:tc>
          <w:tcPr>
            <w:tcW w:w="4503" w:type="dxa"/>
          </w:tcPr>
          <w:p w:rsidR="00B14BD9" w:rsidRDefault="00B14BD9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Strategy development</w:t>
            </w:r>
          </w:p>
          <w:p w:rsidR="000B0CA8" w:rsidRPr="00CC7FD4" w:rsidRDefault="008F3D51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Facilitation and training delivery</w:t>
            </w:r>
          </w:p>
          <w:p w:rsidR="008E20CF" w:rsidRPr="00CC7FD4" w:rsidRDefault="008F3D51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Leadership and management development framework design</w:t>
            </w:r>
          </w:p>
          <w:p w:rsidR="000B0CA8" w:rsidRPr="00CC7FD4" w:rsidRDefault="00B14BD9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P</w:t>
            </w:r>
            <w:r w:rsidR="008F3D51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 xml:space="preserve">rogramme </w:t>
            </w: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development d</w:t>
            </w:r>
            <w:r w:rsidR="008F3D51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esign sk</w:t>
            </w:r>
            <w:r w:rsidR="000B0CA8"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ills</w:t>
            </w:r>
          </w:p>
          <w:p w:rsidR="000B0CA8" w:rsidRPr="00CC7FD4" w:rsidRDefault="000B0CA8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Good knowledge of confidentiality and data protection issues</w:t>
            </w:r>
          </w:p>
          <w:p w:rsidR="000B0CA8" w:rsidRPr="00CC7FD4" w:rsidRDefault="000B0CA8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Competent IT skills on full range of Microsoft Packages</w:t>
            </w:r>
          </w:p>
          <w:p w:rsidR="000B0CA8" w:rsidRPr="00CC7FD4" w:rsidRDefault="000B0CA8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Excellent communication and interpersonal skills both written and verbal</w:t>
            </w:r>
          </w:p>
          <w:p w:rsidR="000B0CA8" w:rsidRPr="00CC7FD4" w:rsidRDefault="008F3D51" w:rsidP="00CC7FD4">
            <w:pPr>
              <w:pStyle w:val="ListParagraph"/>
              <w:numPr>
                <w:ilvl w:val="0"/>
                <w:numId w:val="45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 xml:space="preserve">Strong </w:t>
            </w:r>
            <w:proofErr w:type="gramStart"/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problem solving</w:t>
            </w:r>
            <w:proofErr w:type="gramEnd"/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 xml:space="preserve"> skills</w:t>
            </w:r>
          </w:p>
          <w:p w:rsidR="000B0CA8" w:rsidRPr="00CC7FD4" w:rsidRDefault="000B0CA8" w:rsidP="00CC7FD4">
            <w:pPr>
              <w:pStyle w:val="ListParagraph"/>
              <w:numPr>
                <w:ilvl w:val="0"/>
                <w:numId w:val="4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Experience of effectively managing personal workload</w:t>
            </w:r>
          </w:p>
          <w:p w:rsidR="000B0CA8" w:rsidRPr="00CC7FD4" w:rsidRDefault="000B0CA8" w:rsidP="00CC7FD4">
            <w:pPr>
              <w:pStyle w:val="ListParagraph"/>
              <w:numPr>
                <w:ilvl w:val="0"/>
                <w:numId w:val="4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Strong influenc</w:t>
            </w:r>
            <w:r w:rsidR="008F3D51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ing and negotiation skills</w:t>
            </w:r>
          </w:p>
          <w:p w:rsidR="008E20CF" w:rsidRPr="00CC7FD4" w:rsidRDefault="008F3D51" w:rsidP="00CC7FD4">
            <w:pPr>
              <w:pStyle w:val="ListParagraph"/>
              <w:numPr>
                <w:ilvl w:val="0"/>
                <w:numId w:val="47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Able to present balanced challenge at all levels</w:t>
            </w:r>
          </w:p>
          <w:p w:rsidR="00CB09CF" w:rsidRPr="00CC7FD4" w:rsidRDefault="00CB09CF" w:rsidP="000B0CA8">
            <w:pPr>
              <w:pStyle w:val="ListParagraph"/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</w:p>
        </w:tc>
        <w:tc>
          <w:tcPr>
            <w:tcW w:w="4513" w:type="dxa"/>
            <w:gridSpan w:val="4"/>
          </w:tcPr>
          <w:p w:rsidR="000B0CA8" w:rsidRDefault="00491AFB" w:rsidP="00CC7FD4">
            <w:pPr>
              <w:pStyle w:val="ListParagraph"/>
              <w:numPr>
                <w:ilvl w:val="0"/>
                <w:numId w:val="46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E</w:t>
            </w:r>
            <w:r w:rsidR="000B0CA8"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xperience</w:t>
            </w:r>
            <w:r w:rsidRPr="00CC7FD4"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/qualification in change management</w:t>
            </w:r>
          </w:p>
          <w:p w:rsidR="008F3D51" w:rsidRPr="008F3D51" w:rsidRDefault="008F3D51" w:rsidP="008F3D5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</w:p>
          <w:p w:rsidR="00CB09CF" w:rsidRPr="00CC7FD4" w:rsidRDefault="008F3D51" w:rsidP="00CC7FD4">
            <w:pPr>
              <w:pStyle w:val="ListParagraph"/>
              <w:numPr>
                <w:ilvl w:val="0"/>
                <w:numId w:val="46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2060"/>
                <w:spacing w:val="-2"/>
                <w:kern w:val="24"/>
                <w:sz w:val="20"/>
                <w:szCs w:val="20"/>
              </w:rPr>
              <w:t>Insights Practitioner qualified</w:t>
            </w:r>
          </w:p>
        </w:tc>
      </w:tr>
      <w:tr w:rsidR="00C36B17" w:rsidRPr="00090094" w:rsidTr="00C36B17">
        <w:trPr>
          <w:trHeight w:val="183"/>
        </w:trPr>
        <w:tc>
          <w:tcPr>
            <w:tcW w:w="4503" w:type="dxa"/>
          </w:tcPr>
          <w:p w:rsidR="00C36B17" w:rsidRPr="00CC7FD4" w:rsidRDefault="00C36B17" w:rsidP="00C36B17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</w:pPr>
            <w:r w:rsidRPr="00CC7FD4"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  <w:t>Leadership Passport Level</w:t>
            </w:r>
          </w:p>
        </w:tc>
        <w:tc>
          <w:tcPr>
            <w:tcW w:w="1588" w:type="dxa"/>
          </w:tcPr>
          <w:p w:rsidR="00C36B17" w:rsidRPr="00CC7FD4" w:rsidRDefault="00C36B17" w:rsidP="00C36B17">
            <w:pP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C7FD4" w:rsidRDefault="00C36B17" w:rsidP="00C36B17">
            <w:pP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1</w:t>
            </w: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en-GB"/>
              </w:rPr>
              <w:t>st</w:t>
            </w: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 Line </w:t>
            </w:r>
            <w:proofErr w:type="spellStart"/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C7FD4" w:rsidRDefault="00C36B17" w:rsidP="00C36B17">
            <w:pP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2</w:t>
            </w: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en-GB"/>
              </w:rPr>
              <w:t>nd</w:t>
            </w: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 Line </w:t>
            </w:r>
            <w:proofErr w:type="spellStart"/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C7FD4" w:rsidRDefault="00C36B17" w:rsidP="00C36B17">
            <w:pP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Senior </w:t>
            </w:r>
            <w:proofErr w:type="spellStart"/>
            <w:r w:rsidRPr="00CC7FD4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Mngrs</w:t>
            </w:r>
            <w:proofErr w:type="spellEnd"/>
          </w:p>
        </w:tc>
      </w:tr>
      <w:tr w:rsidR="00CC7FD4" w:rsidRPr="00090094" w:rsidTr="00C36B17">
        <w:trPr>
          <w:trHeight w:val="183"/>
        </w:trPr>
        <w:tc>
          <w:tcPr>
            <w:tcW w:w="4503" w:type="dxa"/>
          </w:tcPr>
          <w:p w:rsidR="00CC7FD4" w:rsidRPr="00CC7FD4" w:rsidRDefault="00CC7FD4" w:rsidP="00C36B17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002060"/>
                <w:spacing w:val="-2"/>
                <w:kern w:val="24"/>
                <w:sz w:val="20"/>
                <w:szCs w:val="20"/>
              </w:rPr>
            </w:pPr>
          </w:p>
        </w:tc>
        <w:tc>
          <w:tcPr>
            <w:tcW w:w="1588" w:type="dxa"/>
          </w:tcPr>
          <w:p w:rsidR="00CC7FD4" w:rsidRPr="00CC7FD4" w:rsidRDefault="00CC7FD4" w:rsidP="00CC7FD4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</w:tcPr>
          <w:p w:rsidR="00CC7FD4" w:rsidRPr="00CC7FD4" w:rsidRDefault="00CC7FD4" w:rsidP="00CC7FD4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</w:tcPr>
          <w:p w:rsidR="00CC7FD4" w:rsidRPr="00CC7FD4" w:rsidRDefault="00CC7FD4" w:rsidP="00CC7FD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en-GB"/>
              </w:rPr>
            </w:pPr>
            <w:r w:rsidRPr="00CC7FD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highlight w:val="yellow"/>
                <w:lang w:eastAsia="en-GB"/>
              </w:rPr>
              <w:t>3</w:t>
            </w:r>
          </w:p>
        </w:tc>
        <w:tc>
          <w:tcPr>
            <w:tcW w:w="941" w:type="dxa"/>
          </w:tcPr>
          <w:p w:rsidR="00CC7FD4" w:rsidRPr="00CC7FD4" w:rsidRDefault="00CC7FD4" w:rsidP="00CC7FD4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</w:tbl>
    <w:p w:rsidR="009A6E91" w:rsidRPr="00090094" w:rsidRDefault="00EC0EDE" w:rsidP="00EC0EDE">
      <w:pPr>
        <w:rPr>
          <w:rFonts w:ascii="Arial" w:hAnsi="Arial" w:cs="Arial"/>
          <w:sz w:val="20"/>
          <w:szCs w:val="20"/>
        </w:rPr>
      </w:pPr>
      <w:r w:rsidRPr="00090094">
        <w:rPr>
          <w:rFonts w:ascii="Arial" w:hAnsi="Arial" w:cs="Arial"/>
          <w:sz w:val="20"/>
          <w:szCs w:val="20"/>
        </w:rPr>
        <w:t>* Indicates that training will be provided as part of the role in this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090094" w:rsidTr="00C41F9C">
        <w:tc>
          <w:tcPr>
            <w:tcW w:w="9016" w:type="dxa"/>
            <w:shd w:val="clear" w:color="auto" w:fill="003671"/>
          </w:tcPr>
          <w:p w:rsidR="00F370AA" w:rsidRPr="00090094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CPD Requirements </w:t>
            </w:r>
          </w:p>
        </w:tc>
      </w:tr>
      <w:tr w:rsidR="00F370AA" w:rsidRPr="00090094" w:rsidTr="00CB09CF">
        <w:trPr>
          <w:trHeight w:val="1385"/>
        </w:trPr>
        <w:tc>
          <w:tcPr>
            <w:tcW w:w="9016" w:type="dxa"/>
          </w:tcPr>
          <w:p w:rsidR="000B34F2" w:rsidRPr="00090094" w:rsidRDefault="008E20CF" w:rsidP="008E20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90094">
              <w:rPr>
                <w:rFonts w:ascii="Arial" w:hAnsi="Arial" w:cs="Arial"/>
                <w:sz w:val="20"/>
                <w:szCs w:val="20"/>
              </w:rPr>
              <w:t>In line with the CIPD OD Framework</w:t>
            </w:r>
          </w:p>
        </w:tc>
      </w:tr>
    </w:tbl>
    <w:p w:rsidR="00CE1263" w:rsidRPr="00090094" w:rsidRDefault="00CE12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090094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090094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Professional Registration/Licences </w:t>
            </w:r>
          </w:p>
        </w:tc>
      </w:tr>
      <w:tr w:rsidR="00AF108F" w:rsidRPr="00090094" w:rsidTr="00EA5185">
        <w:trPr>
          <w:trHeight w:val="739"/>
        </w:trPr>
        <w:tc>
          <w:tcPr>
            <w:tcW w:w="9001" w:type="dxa"/>
          </w:tcPr>
          <w:p w:rsidR="000A2411" w:rsidRPr="00090094" w:rsidRDefault="00D23B2A" w:rsidP="00D23B2A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proofErr w:type="gramStart"/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CIPD  Level</w:t>
            </w:r>
            <w:proofErr w:type="gramEnd"/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 xml:space="preserve"> 5 – 7 or be working towards </w:t>
            </w:r>
          </w:p>
          <w:p w:rsidR="00DA2F9B" w:rsidRPr="00090094" w:rsidRDefault="00DA2F9B" w:rsidP="00D23B2A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Coaching and Mentoring Level 5 -7 or be working towards</w:t>
            </w:r>
          </w:p>
        </w:tc>
      </w:tr>
    </w:tbl>
    <w:p w:rsidR="00E12CFF" w:rsidRPr="00090094" w:rsidRDefault="00E12C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090094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090094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>Special Conditions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685131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D23B2A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Must have a full driving licence and access to a vehicle for work purposes.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685131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685131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685131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D23B2A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Yes</w:t>
            </w:r>
          </w:p>
        </w:tc>
      </w:tr>
      <w:tr w:rsidR="00C36B17" w:rsidRPr="00090094" w:rsidTr="00E74046">
        <w:trPr>
          <w:trHeight w:val="333"/>
        </w:trPr>
        <w:tc>
          <w:tcPr>
            <w:tcW w:w="3681" w:type="dxa"/>
            <w:vAlign w:val="center"/>
          </w:tcPr>
          <w:p w:rsidR="00C36B17" w:rsidRPr="00090094" w:rsidRDefault="00C36B17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5C0EE9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 but may be requirement for occasional weekend or evening work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5C0EE9" w:rsidP="005C0EE9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685131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C16FE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E06E7C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E74046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No</w:t>
            </w:r>
          </w:p>
        </w:tc>
      </w:tr>
      <w:tr w:rsidR="00685131" w:rsidRPr="00090094" w:rsidTr="00E74046">
        <w:trPr>
          <w:trHeight w:val="333"/>
        </w:trPr>
        <w:tc>
          <w:tcPr>
            <w:tcW w:w="3681" w:type="dxa"/>
            <w:vAlign w:val="center"/>
          </w:tcPr>
          <w:p w:rsidR="00685131" w:rsidRPr="00090094" w:rsidRDefault="00E74046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090094" w:rsidRDefault="008E20CF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Yes</w:t>
            </w:r>
          </w:p>
        </w:tc>
      </w:tr>
      <w:tr w:rsidR="00C41F9C" w:rsidRPr="00090094" w:rsidTr="008E20CF">
        <w:trPr>
          <w:trHeight w:val="333"/>
        </w:trPr>
        <w:tc>
          <w:tcPr>
            <w:tcW w:w="3681" w:type="dxa"/>
            <w:vAlign w:val="center"/>
          </w:tcPr>
          <w:p w:rsidR="00C41F9C" w:rsidRPr="00090094" w:rsidRDefault="00C41F9C" w:rsidP="00685131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090094" w:rsidRDefault="00C41F9C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090094" w:rsidRDefault="00C41F9C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28 Days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41F9C" w:rsidRPr="00090094" w:rsidRDefault="00C41F9C" w:rsidP="00954D5E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F9C" w:rsidRPr="00090094" w:rsidRDefault="00C41F9C" w:rsidP="00685131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090094" w:rsidRDefault="00C41F9C" w:rsidP="00685131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</w:p>
        </w:tc>
      </w:tr>
    </w:tbl>
    <w:p w:rsidR="008E20CF" w:rsidRPr="00090094" w:rsidRDefault="008E20CF">
      <w:pPr>
        <w:rPr>
          <w:rFonts w:ascii="Arial" w:hAnsi="Arial" w:cs="Arial"/>
          <w:sz w:val="20"/>
          <w:szCs w:val="20"/>
        </w:rPr>
      </w:pPr>
    </w:p>
    <w:p w:rsidR="008E20CF" w:rsidRPr="00090094" w:rsidRDefault="008E20CF">
      <w:pPr>
        <w:rPr>
          <w:rFonts w:ascii="Arial" w:hAnsi="Arial" w:cs="Arial"/>
          <w:sz w:val="20"/>
          <w:szCs w:val="20"/>
        </w:rPr>
      </w:pPr>
    </w:p>
    <w:p w:rsidR="008E20CF" w:rsidRPr="00090094" w:rsidRDefault="008E20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0B34F2" w:rsidRPr="00090094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090094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</w:pPr>
            <w:r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 xml:space="preserve">Agile Profile </w:t>
            </w:r>
            <w:r w:rsidR="002543BF" w:rsidRPr="00090094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0"/>
                <w:szCs w:val="20"/>
                <w:lang w:eastAsia="en-GB"/>
              </w:rPr>
              <w:t>(See Agile Matrix)</w:t>
            </w:r>
          </w:p>
        </w:tc>
      </w:tr>
      <w:tr w:rsidR="002543BF" w:rsidRPr="00090094" w:rsidTr="00EA5185">
        <w:trPr>
          <w:trHeight w:val="510"/>
        </w:trPr>
        <w:tc>
          <w:tcPr>
            <w:tcW w:w="1486" w:type="dxa"/>
          </w:tcPr>
          <w:p w:rsidR="002543BF" w:rsidRPr="00090094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Desk</w:t>
            </w:r>
          </w:p>
        </w:tc>
        <w:tc>
          <w:tcPr>
            <w:tcW w:w="1568" w:type="dxa"/>
          </w:tcPr>
          <w:p w:rsidR="002543BF" w:rsidRPr="00090094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Confidentiality</w:t>
            </w:r>
          </w:p>
        </w:tc>
        <w:tc>
          <w:tcPr>
            <w:tcW w:w="1492" w:type="dxa"/>
          </w:tcPr>
          <w:p w:rsidR="002543BF" w:rsidRPr="00090094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Systems &amp; Email</w:t>
            </w:r>
          </w:p>
        </w:tc>
        <w:tc>
          <w:tcPr>
            <w:tcW w:w="1495" w:type="dxa"/>
          </w:tcPr>
          <w:p w:rsidR="002543BF" w:rsidRPr="00090094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Telephony</w:t>
            </w:r>
          </w:p>
        </w:tc>
        <w:tc>
          <w:tcPr>
            <w:tcW w:w="1487" w:type="dxa"/>
          </w:tcPr>
          <w:p w:rsidR="002543BF" w:rsidRPr="00090094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Paper</w:t>
            </w:r>
          </w:p>
        </w:tc>
        <w:tc>
          <w:tcPr>
            <w:tcW w:w="1488" w:type="dxa"/>
          </w:tcPr>
          <w:p w:rsidR="002543BF" w:rsidRPr="00090094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  <w:sz w:val="20"/>
                <w:szCs w:val="20"/>
              </w:rPr>
              <w:t>Hours</w:t>
            </w:r>
          </w:p>
        </w:tc>
      </w:tr>
      <w:tr w:rsidR="002543BF" w:rsidRPr="00090094" w:rsidTr="00EA5185">
        <w:trPr>
          <w:trHeight w:val="329"/>
        </w:trPr>
        <w:tc>
          <w:tcPr>
            <w:tcW w:w="1486" w:type="dxa"/>
          </w:tcPr>
          <w:p w:rsidR="002543BF" w:rsidRPr="00090094" w:rsidRDefault="008E20C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2543BF" w:rsidRPr="00090094" w:rsidRDefault="008E20CF" w:rsidP="002543BF">
            <w:pPr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2543BF" w:rsidRPr="00090094" w:rsidRDefault="008E20CF" w:rsidP="002543BF">
            <w:pPr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2543BF" w:rsidRPr="00090094" w:rsidRDefault="008E20CF" w:rsidP="002543BF">
            <w:pPr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2543BF" w:rsidRPr="00090094" w:rsidRDefault="00B14BD9" w:rsidP="002543BF">
            <w:pPr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2543BF" w:rsidRPr="00090094" w:rsidRDefault="008E20CF" w:rsidP="002543BF">
            <w:pPr>
              <w:jc w:val="center"/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</w:pPr>
            <w:r w:rsidRPr="00090094">
              <w:rPr>
                <w:rFonts w:ascii="Arial" w:eastAsia="Times New Roman" w:hAnsi="Arial" w:cs="Arial"/>
                <w:bCs/>
                <w:spacing w:val="-2"/>
                <w:kern w:val="24"/>
                <w:sz w:val="20"/>
                <w:szCs w:val="20"/>
              </w:rPr>
              <w:t>4</w:t>
            </w:r>
          </w:p>
        </w:tc>
      </w:tr>
    </w:tbl>
    <w:p w:rsidR="00AF108F" w:rsidRPr="00090094" w:rsidRDefault="00AF108F" w:rsidP="00EA5185">
      <w:pPr>
        <w:rPr>
          <w:rFonts w:ascii="Arial" w:hAnsi="Arial" w:cs="Arial"/>
          <w:sz w:val="20"/>
          <w:szCs w:val="20"/>
        </w:rPr>
      </w:pPr>
    </w:p>
    <w:sectPr w:rsidR="00AF108F" w:rsidRPr="00090094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A9" w:rsidRDefault="008C3CA9" w:rsidP="000C2E9E">
      <w:pPr>
        <w:spacing w:after="0" w:line="240" w:lineRule="auto"/>
      </w:pPr>
      <w:r>
        <w:separator/>
      </w:r>
    </w:p>
  </w:endnote>
  <w:endnote w:type="continuationSeparator" w:id="0">
    <w:p w:rsidR="008C3CA9" w:rsidRDefault="008C3CA9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F" w:rsidRDefault="001C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90C1B" w:rsidRPr="00290C1B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8E20CF">
      <w:rPr>
        <w:b/>
      </w:rPr>
      <w:t>Organisational Development Advisor</w:t>
    </w:r>
    <w:r w:rsidR="00EC0EDE">
      <w:t xml:space="preserve"> last updated: </w:t>
    </w:r>
    <w:r w:rsidR="006633D7">
      <w:rPr>
        <w:b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F" w:rsidRDefault="001C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A9" w:rsidRDefault="008C3CA9" w:rsidP="000C2E9E">
      <w:pPr>
        <w:spacing w:after="0" w:line="240" w:lineRule="auto"/>
      </w:pPr>
      <w:r>
        <w:separator/>
      </w:r>
    </w:p>
  </w:footnote>
  <w:footnote w:type="continuationSeparator" w:id="0">
    <w:p w:rsidR="008C3CA9" w:rsidRDefault="008C3CA9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F" w:rsidRDefault="001C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F" w:rsidRDefault="001C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7180"/>
    <w:multiLevelType w:val="hybridMultilevel"/>
    <w:tmpl w:val="FE687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1A5C"/>
    <w:multiLevelType w:val="hybridMultilevel"/>
    <w:tmpl w:val="D1E6EC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BBC"/>
    <w:multiLevelType w:val="hybridMultilevel"/>
    <w:tmpl w:val="CCFA37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74750"/>
    <w:multiLevelType w:val="hybridMultilevel"/>
    <w:tmpl w:val="0A8C17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403"/>
    <w:multiLevelType w:val="hybridMultilevel"/>
    <w:tmpl w:val="9A3E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552D"/>
    <w:multiLevelType w:val="hybridMultilevel"/>
    <w:tmpl w:val="DAAE00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271811"/>
    <w:multiLevelType w:val="hybridMultilevel"/>
    <w:tmpl w:val="FBEAF4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818CF"/>
    <w:multiLevelType w:val="hybridMultilevel"/>
    <w:tmpl w:val="E7DC64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85EA7"/>
    <w:multiLevelType w:val="hybridMultilevel"/>
    <w:tmpl w:val="E9108A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B3C4579"/>
    <w:multiLevelType w:val="hybridMultilevel"/>
    <w:tmpl w:val="06CE90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A3F11"/>
    <w:multiLevelType w:val="hybridMultilevel"/>
    <w:tmpl w:val="7DA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F0BA0"/>
    <w:multiLevelType w:val="hybridMultilevel"/>
    <w:tmpl w:val="D9F2B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0D1E"/>
    <w:multiLevelType w:val="hybridMultilevel"/>
    <w:tmpl w:val="DC32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877CC"/>
    <w:multiLevelType w:val="hybridMultilevel"/>
    <w:tmpl w:val="E6D6264A"/>
    <w:lvl w:ilvl="0" w:tplc="72629DDE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29"/>
  </w:num>
  <w:num w:numId="5">
    <w:abstractNumId w:val="40"/>
  </w:num>
  <w:num w:numId="6">
    <w:abstractNumId w:val="33"/>
  </w:num>
  <w:num w:numId="7">
    <w:abstractNumId w:val="28"/>
  </w:num>
  <w:num w:numId="8">
    <w:abstractNumId w:val="34"/>
  </w:num>
  <w:num w:numId="9">
    <w:abstractNumId w:val="0"/>
  </w:num>
  <w:num w:numId="10">
    <w:abstractNumId w:val="21"/>
  </w:num>
  <w:num w:numId="11">
    <w:abstractNumId w:val="16"/>
  </w:num>
  <w:num w:numId="12">
    <w:abstractNumId w:val="22"/>
  </w:num>
  <w:num w:numId="13">
    <w:abstractNumId w:val="38"/>
  </w:num>
  <w:num w:numId="14">
    <w:abstractNumId w:val="43"/>
  </w:num>
  <w:num w:numId="15">
    <w:abstractNumId w:val="9"/>
  </w:num>
  <w:num w:numId="16">
    <w:abstractNumId w:val="2"/>
  </w:num>
  <w:num w:numId="17">
    <w:abstractNumId w:val="41"/>
  </w:num>
  <w:num w:numId="18">
    <w:abstractNumId w:val="35"/>
  </w:num>
  <w:num w:numId="19">
    <w:abstractNumId w:val="32"/>
  </w:num>
  <w:num w:numId="20">
    <w:abstractNumId w:val="26"/>
  </w:num>
  <w:num w:numId="21">
    <w:abstractNumId w:val="6"/>
  </w:num>
  <w:num w:numId="22">
    <w:abstractNumId w:val="17"/>
  </w:num>
  <w:num w:numId="23">
    <w:abstractNumId w:val="20"/>
  </w:num>
  <w:num w:numId="24">
    <w:abstractNumId w:val="3"/>
  </w:num>
  <w:num w:numId="25">
    <w:abstractNumId w:val="23"/>
  </w:num>
  <w:num w:numId="26">
    <w:abstractNumId w:val="44"/>
  </w:num>
  <w:num w:numId="27">
    <w:abstractNumId w:val="4"/>
  </w:num>
  <w:num w:numId="28">
    <w:abstractNumId w:val="24"/>
  </w:num>
  <w:num w:numId="29">
    <w:abstractNumId w:val="1"/>
  </w:num>
  <w:num w:numId="30">
    <w:abstractNumId w:val="13"/>
  </w:num>
  <w:num w:numId="31">
    <w:abstractNumId w:val="31"/>
  </w:num>
  <w:num w:numId="32">
    <w:abstractNumId w:val="27"/>
  </w:num>
  <w:num w:numId="33">
    <w:abstractNumId w:val="10"/>
  </w:num>
  <w:num w:numId="34">
    <w:abstractNumId w:val="39"/>
  </w:num>
  <w:num w:numId="35">
    <w:abstractNumId w:val="46"/>
  </w:num>
  <w:num w:numId="36">
    <w:abstractNumId w:val="42"/>
  </w:num>
  <w:num w:numId="37">
    <w:abstractNumId w:val="15"/>
  </w:num>
  <w:num w:numId="38">
    <w:abstractNumId w:val="45"/>
  </w:num>
  <w:num w:numId="39">
    <w:abstractNumId w:val="11"/>
  </w:num>
  <w:num w:numId="40">
    <w:abstractNumId w:val="18"/>
  </w:num>
  <w:num w:numId="41">
    <w:abstractNumId w:val="19"/>
  </w:num>
  <w:num w:numId="42">
    <w:abstractNumId w:val="37"/>
  </w:num>
  <w:num w:numId="43">
    <w:abstractNumId w:val="5"/>
  </w:num>
  <w:num w:numId="44">
    <w:abstractNumId w:val="12"/>
  </w:num>
  <w:num w:numId="45">
    <w:abstractNumId w:val="8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4D87"/>
    <w:rsid w:val="000075D7"/>
    <w:rsid w:val="00020BD5"/>
    <w:rsid w:val="00023AFC"/>
    <w:rsid w:val="000324FA"/>
    <w:rsid w:val="00045E5E"/>
    <w:rsid w:val="00046A7B"/>
    <w:rsid w:val="0005020E"/>
    <w:rsid w:val="00090094"/>
    <w:rsid w:val="000952B6"/>
    <w:rsid w:val="000A2411"/>
    <w:rsid w:val="000B0CA8"/>
    <w:rsid w:val="000B284D"/>
    <w:rsid w:val="000B34F2"/>
    <w:rsid w:val="000B4889"/>
    <w:rsid w:val="000C2E9E"/>
    <w:rsid w:val="000D1170"/>
    <w:rsid w:val="000D2467"/>
    <w:rsid w:val="000D570C"/>
    <w:rsid w:val="000E3688"/>
    <w:rsid w:val="0010658C"/>
    <w:rsid w:val="001065BD"/>
    <w:rsid w:val="00114500"/>
    <w:rsid w:val="00161985"/>
    <w:rsid w:val="0017300D"/>
    <w:rsid w:val="00180768"/>
    <w:rsid w:val="00181687"/>
    <w:rsid w:val="0018208B"/>
    <w:rsid w:val="001A2D13"/>
    <w:rsid w:val="001A3552"/>
    <w:rsid w:val="001A728D"/>
    <w:rsid w:val="001B2882"/>
    <w:rsid w:val="001B5604"/>
    <w:rsid w:val="001C5E4F"/>
    <w:rsid w:val="001E10A3"/>
    <w:rsid w:val="001E3C0B"/>
    <w:rsid w:val="001E59A6"/>
    <w:rsid w:val="002162B1"/>
    <w:rsid w:val="00230EA2"/>
    <w:rsid w:val="002477C5"/>
    <w:rsid w:val="002543BF"/>
    <w:rsid w:val="0026446C"/>
    <w:rsid w:val="00280D65"/>
    <w:rsid w:val="00290C1B"/>
    <w:rsid w:val="002C4C8F"/>
    <w:rsid w:val="002C5F35"/>
    <w:rsid w:val="002D4A4C"/>
    <w:rsid w:val="002D59FD"/>
    <w:rsid w:val="00302152"/>
    <w:rsid w:val="00305133"/>
    <w:rsid w:val="003076B4"/>
    <w:rsid w:val="00343B11"/>
    <w:rsid w:val="003538D6"/>
    <w:rsid w:val="003742DB"/>
    <w:rsid w:val="00377498"/>
    <w:rsid w:val="003A04C0"/>
    <w:rsid w:val="003F712C"/>
    <w:rsid w:val="00452025"/>
    <w:rsid w:val="00454570"/>
    <w:rsid w:val="00460F4E"/>
    <w:rsid w:val="00472A76"/>
    <w:rsid w:val="004759E3"/>
    <w:rsid w:val="00477EFF"/>
    <w:rsid w:val="00481839"/>
    <w:rsid w:val="00491AFB"/>
    <w:rsid w:val="004B13D4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26A01"/>
    <w:rsid w:val="00530B62"/>
    <w:rsid w:val="00534ED3"/>
    <w:rsid w:val="005351AD"/>
    <w:rsid w:val="005631B2"/>
    <w:rsid w:val="00570BAE"/>
    <w:rsid w:val="00580EBA"/>
    <w:rsid w:val="00586A0E"/>
    <w:rsid w:val="005A3514"/>
    <w:rsid w:val="005C0EE9"/>
    <w:rsid w:val="005C20BA"/>
    <w:rsid w:val="005D73D7"/>
    <w:rsid w:val="00603FC6"/>
    <w:rsid w:val="00604717"/>
    <w:rsid w:val="00604AE6"/>
    <w:rsid w:val="00605816"/>
    <w:rsid w:val="00637CA2"/>
    <w:rsid w:val="006521C4"/>
    <w:rsid w:val="006633D7"/>
    <w:rsid w:val="006834B4"/>
    <w:rsid w:val="0068363E"/>
    <w:rsid w:val="00684776"/>
    <w:rsid w:val="00685131"/>
    <w:rsid w:val="0068689F"/>
    <w:rsid w:val="006A50F1"/>
    <w:rsid w:val="006B20FC"/>
    <w:rsid w:val="006C12B5"/>
    <w:rsid w:val="006E1EDD"/>
    <w:rsid w:val="006E4287"/>
    <w:rsid w:val="006E50B3"/>
    <w:rsid w:val="0070428F"/>
    <w:rsid w:val="007135B3"/>
    <w:rsid w:val="00721B02"/>
    <w:rsid w:val="007271A5"/>
    <w:rsid w:val="0074519E"/>
    <w:rsid w:val="00753DA8"/>
    <w:rsid w:val="00755620"/>
    <w:rsid w:val="0076789E"/>
    <w:rsid w:val="007971D0"/>
    <w:rsid w:val="007B16FB"/>
    <w:rsid w:val="007B328D"/>
    <w:rsid w:val="007B4392"/>
    <w:rsid w:val="007C4DFC"/>
    <w:rsid w:val="007C65D3"/>
    <w:rsid w:val="00816DE9"/>
    <w:rsid w:val="00822EF3"/>
    <w:rsid w:val="008266A0"/>
    <w:rsid w:val="00834942"/>
    <w:rsid w:val="00844836"/>
    <w:rsid w:val="00853182"/>
    <w:rsid w:val="00863F7E"/>
    <w:rsid w:val="00870496"/>
    <w:rsid w:val="008742F6"/>
    <w:rsid w:val="0087763D"/>
    <w:rsid w:val="0088299A"/>
    <w:rsid w:val="00884179"/>
    <w:rsid w:val="0089177D"/>
    <w:rsid w:val="008B701A"/>
    <w:rsid w:val="008C16FE"/>
    <w:rsid w:val="008C3CA9"/>
    <w:rsid w:val="008D64E4"/>
    <w:rsid w:val="008E20CF"/>
    <w:rsid w:val="008F1B4D"/>
    <w:rsid w:val="008F3D51"/>
    <w:rsid w:val="009000C0"/>
    <w:rsid w:val="00934A0E"/>
    <w:rsid w:val="00946227"/>
    <w:rsid w:val="00954D5E"/>
    <w:rsid w:val="009701E5"/>
    <w:rsid w:val="0097454B"/>
    <w:rsid w:val="00986264"/>
    <w:rsid w:val="00986338"/>
    <w:rsid w:val="009A6E91"/>
    <w:rsid w:val="009B061C"/>
    <w:rsid w:val="009B43C4"/>
    <w:rsid w:val="009C09A1"/>
    <w:rsid w:val="009D2E43"/>
    <w:rsid w:val="009D5C7A"/>
    <w:rsid w:val="009D5DF6"/>
    <w:rsid w:val="009F0A21"/>
    <w:rsid w:val="00A65C19"/>
    <w:rsid w:val="00A76C7A"/>
    <w:rsid w:val="00A867D3"/>
    <w:rsid w:val="00A9228C"/>
    <w:rsid w:val="00AA3B24"/>
    <w:rsid w:val="00AA3D78"/>
    <w:rsid w:val="00AA5F8C"/>
    <w:rsid w:val="00AC6480"/>
    <w:rsid w:val="00AC665D"/>
    <w:rsid w:val="00AF108F"/>
    <w:rsid w:val="00AF37D6"/>
    <w:rsid w:val="00B01D15"/>
    <w:rsid w:val="00B1336A"/>
    <w:rsid w:val="00B14BD9"/>
    <w:rsid w:val="00B267DC"/>
    <w:rsid w:val="00B30A61"/>
    <w:rsid w:val="00B43B67"/>
    <w:rsid w:val="00B44834"/>
    <w:rsid w:val="00B53953"/>
    <w:rsid w:val="00B55CF3"/>
    <w:rsid w:val="00B649C0"/>
    <w:rsid w:val="00BA2276"/>
    <w:rsid w:val="00BA73CF"/>
    <w:rsid w:val="00BB3640"/>
    <w:rsid w:val="00BE1CE3"/>
    <w:rsid w:val="00C0360D"/>
    <w:rsid w:val="00C05B35"/>
    <w:rsid w:val="00C231FD"/>
    <w:rsid w:val="00C23BE9"/>
    <w:rsid w:val="00C23E92"/>
    <w:rsid w:val="00C25DBF"/>
    <w:rsid w:val="00C36B17"/>
    <w:rsid w:val="00C41F9C"/>
    <w:rsid w:val="00C44821"/>
    <w:rsid w:val="00C45165"/>
    <w:rsid w:val="00C501B5"/>
    <w:rsid w:val="00C64279"/>
    <w:rsid w:val="00CB09CF"/>
    <w:rsid w:val="00CB17B5"/>
    <w:rsid w:val="00CC11AD"/>
    <w:rsid w:val="00CC2E8F"/>
    <w:rsid w:val="00CC7FD4"/>
    <w:rsid w:val="00CD7CA4"/>
    <w:rsid w:val="00CE1263"/>
    <w:rsid w:val="00CF2220"/>
    <w:rsid w:val="00D016AA"/>
    <w:rsid w:val="00D23B2A"/>
    <w:rsid w:val="00D245EB"/>
    <w:rsid w:val="00D30A91"/>
    <w:rsid w:val="00D44361"/>
    <w:rsid w:val="00D44C89"/>
    <w:rsid w:val="00D52640"/>
    <w:rsid w:val="00D64811"/>
    <w:rsid w:val="00D701A8"/>
    <w:rsid w:val="00D715CE"/>
    <w:rsid w:val="00D81743"/>
    <w:rsid w:val="00D86487"/>
    <w:rsid w:val="00D9094C"/>
    <w:rsid w:val="00DA2F9B"/>
    <w:rsid w:val="00DA7AA1"/>
    <w:rsid w:val="00DB747A"/>
    <w:rsid w:val="00DB75D4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48C5"/>
    <w:rsid w:val="00E46EF6"/>
    <w:rsid w:val="00E47ADF"/>
    <w:rsid w:val="00E47AF3"/>
    <w:rsid w:val="00E52FA5"/>
    <w:rsid w:val="00E60A06"/>
    <w:rsid w:val="00E64E4F"/>
    <w:rsid w:val="00E74046"/>
    <w:rsid w:val="00E91F5D"/>
    <w:rsid w:val="00E93FB6"/>
    <w:rsid w:val="00EA5185"/>
    <w:rsid w:val="00EA7289"/>
    <w:rsid w:val="00EB4C8D"/>
    <w:rsid w:val="00EC0EDE"/>
    <w:rsid w:val="00EC5E03"/>
    <w:rsid w:val="00EC6A58"/>
    <w:rsid w:val="00ED2B2E"/>
    <w:rsid w:val="00ED6DC2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5586B"/>
    <w:rsid w:val="00F713CD"/>
    <w:rsid w:val="00F758D7"/>
    <w:rsid w:val="00F81541"/>
    <w:rsid w:val="00F97D23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02F8A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A4A7-CB95-47A8-A977-2733C12C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Naomi Adusa-Addai</cp:lastModifiedBy>
  <cp:revision>2</cp:revision>
  <cp:lastPrinted>2020-07-03T13:46:00Z</cp:lastPrinted>
  <dcterms:created xsi:type="dcterms:W3CDTF">2023-06-15T13:56:00Z</dcterms:created>
  <dcterms:modified xsi:type="dcterms:W3CDTF">2023-06-15T13:56:00Z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2023-05-03T11:50:18Z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3b4362e2-28ed-4bf6-b5a3-9bde0d2bb418</vt:lpwstr>
  </property>
  <property fmtid="{D5CDD505-2E9C-101B-9397-08002B2CF9AE}" pid="8" name="MSIP_Label_c1bd297d-c19e-48a7-882e-4507daab7346_ContentBits">
    <vt:lpwstr>0</vt:lpwstr>
  </property>
</Properties>
</file>